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F7E1" w14:textId="60703434" w:rsidR="00AC41CD" w:rsidRDefault="00FB650C" w:rsidP="00AC41CD">
      <w:pPr>
        <w:pStyle w:val="NormalWeb"/>
        <w:rPr>
          <w:b/>
        </w:rPr>
      </w:pPr>
      <w:r w:rsidRPr="00537DFD">
        <w:rPr>
          <w:b/>
          <w:highlight w:val="lightGray"/>
        </w:rPr>
        <w:t>[</w:t>
      </w:r>
      <w:r w:rsidR="00AC41CD" w:rsidRPr="00537DFD">
        <w:rPr>
          <w:b/>
          <w:highlight w:val="lightGray"/>
        </w:rPr>
        <w:t>Addendu</w:t>
      </w:r>
      <w:r w:rsidR="009D1886" w:rsidRPr="00537DFD">
        <w:rPr>
          <w:b/>
          <w:highlight w:val="lightGray"/>
        </w:rPr>
        <w:t>m to the Grant Agreement for KA2</w:t>
      </w:r>
      <w:r w:rsidR="00AC41CD" w:rsidRPr="00537DFD">
        <w:rPr>
          <w:b/>
          <w:highlight w:val="lightGray"/>
        </w:rPr>
        <w:t xml:space="preserve"> </w:t>
      </w:r>
      <w:r w:rsidR="009D1886" w:rsidRPr="00537DFD">
        <w:rPr>
          <w:b/>
          <w:highlight w:val="lightGray"/>
        </w:rPr>
        <w:t>Strategic Partnerships</w:t>
      </w:r>
      <w:r w:rsidRPr="00537DFD">
        <w:rPr>
          <w:b/>
          <w:highlight w:val="lightGray"/>
        </w:rPr>
        <w:t>]</w:t>
      </w:r>
    </w:p>
    <w:p w14:paraId="2DCCE08A" w14:textId="77777777" w:rsidR="00AC41CD" w:rsidRDefault="00AC41CD" w:rsidP="006555BF">
      <w:pPr>
        <w:pStyle w:val="NormalWeb"/>
        <w:jc w:val="center"/>
      </w:pPr>
    </w:p>
    <w:p w14:paraId="54B5C99D" w14:textId="215AA732" w:rsidR="006555BF" w:rsidRDefault="006555BF" w:rsidP="006555BF">
      <w:pPr>
        <w:pStyle w:val="NormalWeb"/>
        <w:jc w:val="center"/>
      </w:pPr>
      <w:r>
        <w:t>ADDENDUM NO […] TO THE GRANT AGREEMENT NO […]</w:t>
      </w:r>
    </w:p>
    <w:p w14:paraId="79FB4D3E" w14:textId="01E09C34" w:rsidR="00253358" w:rsidRPr="00F76369" w:rsidRDefault="006555BF" w:rsidP="00253358">
      <w:pPr>
        <w:pStyle w:val="NormalWeb"/>
        <w:jc w:val="center"/>
      </w:pPr>
      <w:r>
        <w:t>SIGNED BETWEEN […]</w:t>
      </w:r>
    </w:p>
    <w:p w14:paraId="5E347C2D" w14:textId="79FDF53C" w:rsidR="00943781" w:rsidRDefault="00943781" w:rsidP="00DA2D3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CC0B0F1" w14:textId="2E50F81B" w:rsidR="006555BF" w:rsidRPr="00253358" w:rsidRDefault="006555BF" w:rsidP="00253358">
      <w:pPr>
        <w:rPr>
          <w:b/>
        </w:rPr>
      </w:pPr>
      <w:r w:rsidRPr="00253358">
        <w:rPr>
          <w:b/>
        </w:rPr>
        <w:t xml:space="preserve">ADDITIONAL FINANCIAL AND CONTRACTUAL RULES ONLY APPLICABLE TO PROJECTS ORGANISING VIRTUAL ACTIVITIES </w:t>
      </w:r>
      <w:r w:rsidR="006A0993" w:rsidRPr="00253358">
        <w:rPr>
          <w:b/>
        </w:rPr>
        <w:t>DUE TO</w:t>
      </w:r>
      <w:r w:rsidR="00CF2175" w:rsidRPr="00253358">
        <w:rPr>
          <w:b/>
        </w:rPr>
        <w:t xml:space="preserve"> </w:t>
      </w:r>
      <w:r w:rsidRPr="00253358">
        <w:rPr>
          <w:b/>
        </w:rPr>
        <w:t>COVID-19</w:t>
      </w:r>
    </w:p>
    <w:p w14:paraId="2750CC6B" w14:textId="3E240E94" w:rsidR="006555BF" w:rsidRDefault="006555BF" w:rsidP="006555B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following rules are additional to those in Articles I.2 and II.2 in Annex III and </w:t>
      </w:r>
      <w:r w:rsidR="00F0013F">
        <w:rPr>
          <w:rFonts w:ascii="Times New Roman" w:hAnsi="Times New Roman" w:cs="Times New Roman"/>
          <w:sz w:val="24"/>
          <w:szCs w:val="24"/>
          <w:lang w:val="en-GB"/>
        </w:rPr>
        <w:t xml:space="preserve">only applies </w:t>
      </w:r>
      <w:r w:rsidR="00BE0CF1">
        <w:rPr>
          <w:rFonts w:ascii="Times New Roman" w:hAnsi="Times New Roman" w:cs="Times New Roman"/>
          <w:sz w:val="24"/>
          <w:szCs w:val="24"/>
          <w:lang w:val="en-GB"/>
        </w:rPr>
        <w:t>to cases where virtual activities need to be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F2175">
        <w:rPr>
          <w:rFonts w:ascii="Times New Roman" w:hAnsi="Times New Roman" w:cs="Times New Roman"/>
          <w:sz w:val="24"/>
          <w:szCs w:val="24"/>
          <w:lang w:val="en-GB"/>
        </w:rPr>
        <w:t xml:space="preserve">organised due to </w:t>
      </w:r>
      <w:r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="00F0013F">
        <w:rPr>
          <w:rFonts w:ascii="Times New Roman" w:hAnsi="Times New Roman" w:cs="Times New Roman"/>
          <w:sz w:val="24"/>
          <w:szCs w:val="24"/>
          <w:lang w:val="en-GB"/>
        </w:rPr>
        <w:t>-19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07794">
        <w:rPr>
          <w:rFonts w:ascii="Times New Roman" w:hAnsi="Times New Roman" w:cs="Times New Roman"/>
          <w:sz w:val="24"/>
          <w:szCs w:val="24"/>
          <w:lang w:val="en-GB"/>
        </w:rPr>
        <w:t>Reporting on virtual mobilities is required in line with the rules provided in the grant agreement.</w:t>
      </w:r>
    </w:p>
    <w:p w14:paraId="7DB568FB" w14:textId="7597A89D" w:rsidR="00BE4E18" w:rsidRDefault="6344B279" w:rsidP="00285D63">
      <w:pPr>
        <w:suppressAutoHyphens/>
        <w:spacing w:after="20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143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beneficiaries are allowed to </w:t>
      </w:r>
      <w:r w:rsidRPr="00537DF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transfer </w:t>
      </w:r>
      <w:r w:rsidR="009437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without amendment </w:t>
      </w:r>
      <w:r w:rsidRPr="00537DFD">
        <w:rPr>
          <w:rFonts w:ascii="Times New Roman" w:eastAsia="Times New Roman" w:hAnsi="Times New Roman" w:cs="Times New Roman"/>
          <w:sz w:val="24"/>
          <w:szCs w:val="24"/>
          <w:lang w:val="en-GB"/>
        </w:rPr>
        <w:t>up to 60% of the funds allocated for</w:t>
      </w:r>
      <w:r w:rsidRPr="00A143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each of the following budget categories: Transnational Project Meetings, Multiplier Events, Learning/teaching/training activities and Exceptional costs to any other budget category </w:t>
      </w:r>
      <w:r w:rsidR="009437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under which the virtual activity is taking place, </w:t>
      </w:r>
      <w:proofErr w:type="gramStart"/>
      <w:r w:rsidRPr="00A1430D">
        <w:rPr>
          <w:rFonts w:ascii="Times New Roman" w:eastAsia="Times New Roman" w:hAnsi="Times New Roman" w:cs="Times New Roman"/>
          <w:sz w:val="24"/>
          <w:szCs w:val="24"/>
          <w:lang w:val="en-GB"/>
        </w:rPr>
        <w:t>with the exception of</w:t>
      </w:r>
      <w:proofErr w:type="gramEnd"/>
      <w:r w:rsidRPr="00A143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budget categories Project management and implementation and Exceptional costs.</w:t>
      </w:r>
      <w:r w:rsidR="00445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7E79E3E3" w14:textId="4CCC00C0" w:rsidR="6344B279" w:rsidRDefault="00BE4E18" w:rsidP="00943781">
      <w:pPr>
        <w:suppressAutoHyphens/>
        <w:spacing w:after="20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Exceptional costs, </w:t>
      </w:r>
      <w:r>
        <w:rPr>
          <w:rFonts w:ascii="Times New Roman" w:hAnsi="Times New Roman"/>
          <w:sz w:val="24"/>
          <w:szCs w:val="24"/>
        </w:rPr>
        <w:t>b</w:t>
      </w:r>
      <w:r w:rsidR="00445E99" w:rsidRPr="008C5FD8">
        <w:rPr>
          <w:rFonts w:ascii="Times New Roman" w:hAnsi="Times New Roman"/>
          <w:sz w:val="24"/>
          <w:szCs w:val="24"/>
        </w:rPr>
        <w:t xml:space="preserve">eneficiaries are allowed to transfer up to </w:t>
      </w:r>
      <w:r w:rsidR="00445E99" w:rsidRPr="00883E9D">
        <w:rPr>
          <w:rFonts w:ascii="Times New Roman" w:hAnsi="Times New Roman"/>
          <w:sz w:val="24"/>
          <w:szCs w:val="24"/>
        </w:rPr>
        <w:t>10%</w:t>
      </w:r>
      <w:r w:rsidR="00445E99" w:rsidRPr="008C5FD8">
        <w:rPr>
          <w:rFonts w:ascii="Times New Roman" w:hAnsi="Times New Roman"/>
          <w:sz w:val="24"/>
          <w:szCs w:val="24"/>
        </w:rPr>
        <w:t xml:space="preserve"> of the</w:t>
      </w:r>
      <w:r w:rsidR="00445E99">
        <w:rPr>
          <w:rFonts w:ascii="Times New Roman" w:hAnsi="Times New Roman"/>
          <w:sz w:val="24"/>
          <w:szCs w:val="24"/>
        </w:rPr>
        <w:t xml:space="preserve"> </w:t>
      </w:r>
      <w:r w:rsidR="00445E99" w:rsidRPr="00704F41">
        <w:rPr>
          <w:rFonts w:ascii="Times New Roman" w:hAnsi="Times New Roman"/>
          <w:sz w:val="24"/>
          <w:szCs w:val="24"/>
        </w:rPr>
        <w:t xml:space="preserve">funds from </w:t>
      </w:r>
      <w:r w:rsidR="00445E99">
        <w:rPr>
          <w:rFonts w:ascii="Times New Roman" w:hAnsi="Times New Roman"/>
          <w:sz w:val="24"/>
          <w:szCs w:val="24"/>
        </w:rPr>
        <w:t>any budget category based on unit contributions</w:t>
      </w:r>
      <w:r w:rsidR="00445E99" w:rsidRPr="00704F41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E</w:t>
      </w:r>
      <w:r w:rsidR="00445E99" w:rsidRPr="00704F41">
        <w:rPr>
          <w:rFonts w:ascii="Times New Roman" w:hAnsi="Times New Roman"/>
          <w:sz w:val="24"/>
          <w:szCs w:val="24"/>
        </w:rPr>
        <w:t xml:space="preserve">xceptional costs </w:t>
      </w:r>
      <w:proofErr w:type="gramStart"/>
      <w:r w:rsidR="00445E99" w:rsidRPr="00704F41">
        <w:rPr>
          <w:rFonts w:ascii="Times New Roman" w:hAnsi="Times New Roman"/>
          <w:sz w:val="24"/>
          <w:szCs w:val="24"/>
        </w:rPr>
        <w:t>in order to</w:t>
      </w:r>
      <w:proofErr w:type="gramEnd"/>
      <w:r w:rsidR="00445E99" w:rsidRPr="00704F41">
        <w:rPr>
          <w:rFonts w:ascii="Times New Roman" w:hAnsi="Times New Roman"/>
          <w:sz w:val="24"/>
          <w:szCs w:val="24"/>
        </w:rPr>
        <w:t xml:space="preserve"> cover costs related to buying and/or renting of equipment and/or services necessary for the implementation of virtual mobility activities</w:t>
      </w:r>
      <w:r w:rsidR="00445E9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5E99">
        <w:rPr>
          <w:rFonts w:ascii="Times New Roman" w:hAnsi="Times New Roman"/>
          <w:sz w:val="24"/>
          <w:szCs w:val="24"/>
          <w:lang w:val="en-GB"/>
        </w:rPr>
        <w:t>due to COVID-19</w:t>
      </w:r>
      <w:r w:rsidR="00445E99" w:rsidRPr="00704F41">
        <w:rPr>
          <w:rFonts w:ascii="Times New Roman" w:hAnsi="Times New Roman"/>
          <w:sz w:val="24"/>
          <w:szCs w:val="24"/>
        </w:rPr>
        <w:t>, even if no funds were initially allocated to the Exceptional costs budget category.</w:t>
      </w:r>
    </w:p>
    <w:p w14:paraId="2E04BC54" w14:textId="77777777" w:rsidR="00F17032" w:rsidRDefault="00F17032" w:rsidP="006555B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3C625BF" w14:textId="77777777" w:rsidR="006555BF" w:rsidRPr="00BC786A" w:rsidRDefault="006555B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0CF1">
        <w:rPr>
          <w:rFonts w:ascii="Times New Roman" w:hAnsi="Times New Roman" w:cs="Times New Roman"/>
          <w:b/>
          <w:bCs/>
          <w:sz w:val="24"/>
          <w:szCs w:val="24"/>
          <w:lang w:val="en-GB"/>
        </w:rPr>
        <w:t>Article I.2. Calculation and supporting documents for unit contributions</w:t>
      </w:r>
    </w:p>
    <w:p w14:paraId="13A3178F" w14:textId="3EA86E0C" w:rsidR="006555BF" w:rsidRDefault="007A7CF2" w:rsidP="006555B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Provisions for Project management and implementation </w:t>
      </w:r>
      <w:r w:rsidR="003E3B62">
        <w:rPr>
          <w:rFonts w:ascii="Times New Roman" w:hAnsi="Times New Roman" w:cs="Times New Roman"/>
          <w:sz w:val="24"/>
          <w:szCs w:val="24"/>
          <w:lang w:val="en-GB"/>
        </w:rPr>
        <w:t xml:space="preserve">and virtual multiplier events </w:t>
      </w:r>
      <w:r>
        <w:rPr>
          <w:rFonts w:ascii="Times New Roman" w:hAnsi="Times New Roman" w:cs="Times New Roman"/>
          <w:sz w:val="24"/>
          <w:szCs w:val="24"/>
          <w:lang w:val="en-GB"/>
        </w:rPr>
        <w:t>remain applicable</w:t>
      </w:r>
      <w:r w:rsidR="006555B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2CB967F" w14:textId="4734341F" w:rsidR="005F28BC" w:rsidRDefault="005F28BC" w:rsidP="006555B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D656E2" w14:textId="77777777" w:rsidR="00391A95" w:rsidRPr="00BC786A" w:rsidRDefault="00391A95">
      <w:pPr>
        <w:pStyle w:val="ListBullet"/>
        <w:ind w:left="283"/>
        <w:rPr>
          <w:b/>
          <w:bCs/>
          <w:highlight w:val="yellow"/>
          <w:u w:val="single"/>
        </w:rPr>
      </w:pPr>
      <w:r w:rsidRPr="00BE0CF1">
        <w:rPr>
          <w:b/>
          <w:bCs/>
          <w:highlight w:val="yellow"/>
          <w:u w:val="single"/>
        </w:rPr>
        <w:t xml:space="preserve">A. </w:t>
      </w:r>
      <w:r w:rsidR="001D65E2" w:rsidRPr="00BE0CF1">
        <w:rPr>
          <w:b/>
          <w:bCs/>
          <w:highlight w:val="yellow"/>
          <w:u w:val="single"/>
        </w:rPr>
        <w:t>Transnational project meetings</w:t>
      </w:r>
    </w:p>
    <w:p w14:paraId="43CFC5C3" w14:textId="77777777" w:rsidR="007A7CF2" w:rsidRPr="00A96116" w:rsidRDefault="007A7CF2" w:rsidP="00A96116">
      <w:pPr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96116">
        <w:rPr>
          <w:rFonts w:ascii="Times New Roman" w:hAnsi="Times New Roman" w:cs="Times New Roman"/>
          <w:sz w:val="24"/>
          <w:szCs w:val="24"/>
          <w:lang w:val="en-GB"/>
        </w:rPr>
        <w:t>No additional unit costs are eligible for virtual activities. The resources available under the “Project management and implementation” budget shall cover the costs related with these meetings.</w:t>
      </w:r>
    </w:p>
    <w:p w14:paraId="55A29C66" w14:textId="77777777" w:rsidR="006555BF" w:rsidRDefault="006555BF" w:rsidP="00391A9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59C8C8A0" w14:textId="77777777" w:rsidR="00D512FD" w:rsidRDefault="00D512FD" w:rsidP="00A96116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</w:p>
    <w:p w14:paraId="06C58363" w14:textId="77777777" w:rsidR="00D512FD" w:rsidRPr="00A96116" w:rsidRDefault="00D512FD" w:rsidP="00A96116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</w:p>
    <w:p w14:paraId="624E1799" w14:textId="77777777" w:rsidR="001D65E2" w:rsidRPr="00BC786A" w:rsidRDefault="001D65E2">
      <w:pPr>
        <w:pStyle w:val="ListBullet"/>
        <w:ind w:left="283"/>
        <w:rPr>
          <w:b/>
          <w:bCs/>
          <w:highlight w:val="yellow"/>
          <w:u w:val="single"/>
        </w:rPr>
      </w:pPr>
      <w:r w:rsidRPr="00BE0CF1">
        <w:rPr>
          <w:b/>
          <w:bCs/>
          <w:highlight w:val="yellow"/>
          <w:u w:val="single"/>
        </w:rPr>
        <w:t>C. Learning, teaching and training activities</w:t>
      </w:r>
    </w:p>
    <w:p w14:paraId="68EC2FFB" w14:textId="77777777" w:rsidR="003E65FD" w:rsidRDefault="003E65FD" w:rsidP="00F76369">
      <w:pPr>
        <w:pStyle w:val="ListParagraph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 Calculation of the grant amount: the grant amount takes the form of unit contribution towards individual support.</w:t>
      </w:r>
    </w:p>
    <w:p w14:paraId="47F9A380" w14:textId="77777777" w:rsidR="003E65FD" w:rsidRDefault="003E65FD" w:rsidP="00A96116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</w:p>
    <w:p w14:paraId="4F022DE1" w14:textId="7A1E29AC" w:rsidR="003E65FD" w:rsidRDefault="003E65FD" w:rsidP="00F76369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grant support for travel will be awarded. </w:t>
      </w:r>
    </w:p>
    <w:p w14:paraId="7231A517" w14:textId="77777777" w:rsidR="00DE3BC8" w:rsidRDefault="00DE3BC8" w:rsidP="00F7636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61FB9E74" w14:textId="46B6D272" w:rsidR="00F76369" w:rsidRPr="00F76369" w:rsidRDefault="00331C05" w:rsidP="00F76369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E65FD">
        <w:rPr>
          <w:rFonts w:ascii="Times New Roman" w:hAnsi="Times New Roman" w:cs="Times New Roman"/>
          <w:sz w:val="24"/>
          <w:szCs w:val="24"/>
        </w:rPr>
        <w:t xml:space="preserve">inguistic support </w:t>
      </w:r>
      <w:r w:rsidR="00AE1361">
        <w:rPr>
          <w:rFonts w:ascii="Times New Roman" w:hAnsi="Times New Roman" w:cs="Times New Roman"/>
          <w:sz w:val="24"/>
          <w:szCs w:val="24"/>
        </w:rPr>
        <w:t xml:space="preserve">may </w:t>
      </w:r>
      <w:r w:rsidR="003E65FD">
        <w:rPr>
          <w:rFonts w:ascii="Times New Roman" w:hAnsi="Times New Roman" w:cs="Times New Roman"/>
          <w:sz w:val="24"/>
          <w:szCs w:val="24"/>
        </w:rPr>
        <w:t>also be provided in case of virtual activities and the same rules apply.</w:t>
      </w:r>
    </w:p>
    <w:p w14:paraId="6EB442C4" w14:textId="3811A6B5" w:rsidR="00F76369" w:rsidRPr="00F76369" w:rsidRDefault="00F76369" w:rsidP="00F7636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6803977F" w14:textId="39661C68" w:rsidR="00BD4271" w:rsidRDefault="00B44629" w:rsidP="00F76369">
      <w:pPr>
        <w:pStyle w:val="ListParagraph"/>
        <w:numPr>
          <w:ilvl w:val="0"/>
          <w:numId w:val="8"/>
        </w:numPr>
        <w:ind w:left="1080"/>
        <w:jc w:val="both"/>
        <w:rPr>
          <w:rFonts w:ascii="Times New Roman" w:hAnsi="Times New Roman"/>
          <w:sz w:val="24"/>
          <w:szCs w:val="24"/>
        </w:rPr>
      </w:pPr>
      <w:r w:rsidRPr="00A96116">
        <w:rPr>
          <w:rFonts w:ascii="Times New Roman" w:hAnsi="Times New Roman"/>
          <w:sz w:val="24"/>
          <w:szCs w:val="24"/>
        </w:rPr>
        <w:t xml:space="preserve">Individual support: </w:t>
      </w:r>
      <w:r w:rsidR="00BD4271" w:rsidRPr="00A96116">
        <w:rPr>
          <w:rFonts w:ascii="Times New Roman" w:hAnsi="Times New Roman"/>
          <w:sz w:val="24"/>
          <w:szCs w:val="24"/>
        </w:rPr>
        <w:t xml:space="preserve">the grant amount is </w:t>
      </w:r>
      <w:r w:rsidR="00BD4271" w:rsidRPr="00537DFD">
        <w:rPr>
          <w:rFonts w:ascii="Times New Roman" w:hAnsi="Times New Roman"/>
          <w:sz w:val="24"/>
          <w:szCs w:val="24"/>
        </w:rPr>
        <w:t>calculated by multiplying the number of days/months</w:t>
      </w:r>
      <w:r w:rsidR="003E65FD" w:rsidRPr="00537DFD">
        <w:rPr>
          <w:rFonts w:ascii="Times New Roman" w:hAnsi="Times New Roman"/>
          <w:sz w:val="24"/>
          <w:szCs w:val="24"/>
        </w:rPr>
        <w:t xml:space="preserve"> of virtual participation</w:t>
      </w:r>
      <w:r w:rsidR="00BD4271" w:rsidRPr="00537DFD">
        <w:rPr>
          <w:rFonts w:ascii="Times New Roman" w:hAnsi="Times New Roman"/>
          <w:sz w:val="24"/>
          <w:szCs w:val="24"/>
        </w:rPr>
        <w:t xml:space="preserve"> per participant, by </w:t>
      </w:r>
      <w:r w:rsidR="00BD4271" w:rsidRPr="004E2D2D">
        <w:rPr>
          <w:rFonts w:ascii="Times New Roman" w:hAnsi="Times New Roman"/>
          <w:sz w:val="24"/>
          <w:szCs w:val="24"/>
        </w:rPr>
        <w:t>15%</w:t>
      </w:r>
      <w:r w:rsidR="00BD4271" w:rsidRPr="00537DFD">
        <w:rPr>
          <w:rFonts w:ascii="Times New Roman" w:hAnsi="Times New Roman"/>
          <w:sz w:val="24"/>
          <w:szCs w:val="24"/>
        </w:rPr>
        <w:t xml:space="preserve"> of the unit contribution applicable per day/month for the type of participant and for the receiving country concerned, as specified in Annex IV of the Agreement. </w:t>
      </w:r>
      <w:r w:rsidR="003E65FD" w:rsidRPr="00537DFD">
        <w:rPr>
          <w:rFonts w:ascii="Times New Roman" w:hAnsi="Times New Roman"/>
          <w:sz w:val="24"/>
          <w:szCs w:val="24"/>
        </w:rPr>
        <w:t xml:space="preserve">Travel days before or after the activity cannot be included </w:t>
      </w:r>
      <w:r w:rsidR="00BD4271" w:rsidRPr="00537DFD">
        <w:rPr>
          <w:rFonts w:ascii="Times New Roman" w:hAnsi="Times New Roman"/>
          <w:sz w:val="24"/>
          <w:szCs w:val="24"/>
        </w:rPr>
        <w:t>for the</w:t>
      </w:r>
      <w:r w:rsidR="00BD4271" w:rsidRPr="00A96116">
        <w:rPr>
          <w:rFonts w:ascii="Times New Roman" w:hAnsi="Times New Roman"/>
          <w:sz w:val="24"/>
          <w:szCs w:val="24"/>
        </w:rPr>
        <w:t xml:space="preserve"> calculation of the individual support.</w:t>
      </w:r>
    </w:p>
    <w:p w14:paraId="03218794" w14:textId="77777777" w:rsidR="00DA2D3F" w:rsidRPr="00DA2D3F" w:rsidRDefault="00DA2D3F" w:rsidP="00DA2D3F">
      <w:pPr>
        <w:pStyle w:val="ListParagraph"/>
        <w:rPr>
          <w:rFonts w:ascii="Times New Roman" w:hAnsi="Times New Roman"/>
          <w:sz w:val="24"/>
          <w:szCs w:val="24"/>
        </w:rPr>
      </w:pPr>
    </w:p>
    <w:p w14:paraId="1D5C9089" w14:textId="77777777" w:rsidR="00DA2D3F" w:rsidRPr="00A96116" w:rsidRDefault="00DA2D3F" w:rsidP="00DA2D3F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14:paraId="6CD7C37E" w14:textId="195279FC" w:rsidR="003E65FD" w:rsidRDefault="003E65FD" w:rsidP="00F76369">
      <w:pPr>
        <w:pStyle w:val="ListParagraph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Triggering event: </w:t>
      </w:r>
    </w:p>
    <w:p w14:paraId="2C73A93E" w14:textId="1F112129" w:rsidR="00B44629" w:rsidRDefault="003E65FD" w:rsidP="00A96116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 support: the event that conditions the entitlement to the grant is that the participant has undertaken the activity</w:t>
      </w:r>
      <w:r w:rsidRPr="44CFE4CB">
        <w:rPr>
          <w:rFonts w:ascii="Times New Roman" w:hAnsi="Times New Roman"/>
          <w:sz w:val="24"/>
          <w:szCs w:val="24"/>
        </w:rPr>
        <w:t>.</w:t>
      </w:r>
    </w:p>
    <w:p w14:paraId="6C307BB9" w14:textId="2C833815" w:rsidR="003E65FD" w:rsidRDefault="003E65FD" w:rsidP="00A96116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</w:t>
      </w:r>
      <w:r w:rsidR="4B0EDD5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istic support: the triggering event for the entitlement to the grant is that the participant has undertaken an activity exceeding 2 months and that the person has actually undertaken language preparation in the language of instruction.</w:t>
      </w:r>
    </w:p>
    <w:p w14:paraId="410B37B3" w14:textId="77777777" w:rsidR="00DA2D3F" w:rsidRDefault="00DA2D3F" w:rsidP="00DA2D3F">
      <w:pPr>
        <w:pStyle w:val="ListParagraph"/>
        <w:spacing w:before="120" w:after="120"/>
        <w:ind w:left="1080"/>
        <w:jc w:val="both"/>
        <w:rPr>
          <w:rFonts w:ascii="Times New Roman" w:hAnsi="Times New Roman"/>
          <w:sz w:val="24"/>
          <w:szCs w:val="24"/>
        </w:rPr>
      </w:pPr>
    </w:p>
    <w:p w14:paraId="04ADC7CC" w14:textId="77777777" w:rsidR="003E65FD" w:rsidRDefault="003E65FD" w:rsidP="00F76369">
      <w:pPr>
        <w:pStyle w:val="ListParagraph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Supporting documents</w:t>
      </w:r>
    </w:p>
    <w:p w14:paraId="064F4402" w14:textId="6E994733" w:rsidR="00CF2175" w:rsidRDefault="005F28BC" w:rsidP="00F76369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F2175">
        <w:rPr>
          <w:rFonts w:ascii="Times New Roman" w:hAnsi="Times New Roman"/>
          <w:sz w:val="24"/>
          <w:szCs w:val="24"/>
        </w:rPr>
        <w:t xml:space="preserve">Individual support: </w:t>
      </w:r>
      <w:r w:rsidR="00966E3D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Proof of attendance of the activity in the form of a declaration signed by the receiving organisation specifying the name of the participant, the purpose of the activity, as well as </w:t>
      </w:r>
      <w:r w:rsidR="00C31878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 w:rsidR="00966E3D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 start and end date</w:t>
      </w:r>
      <w:r w:rsidR="00C31878">
        <w:rPr>
          <w:rFonts w:ascii="Times New Roman" w:eastAsia="Times New Roman" w:hAnsi="Times New Roman"/>
          <w:color w:val="000000"/>
          <w:sz w:val="24"/>
          <w:szCs w:val="24"/>
        </w:rPr>
        <w:t xml:space="preserve"> of the virtual activity</w:t>
      </w:r>
      <w:r w:rsidR="00966E3D">
        <w:rPr>
          <w:rFonts w:ascii="Times New Roman" w:hAnsi="Times New Roman"/>
          <w:color w:val="000000"/>
          <w:sz w:val="24"/>
          <w:szCs w:val="24"/>
        </w:rPr>
        <w:t>.</w:t>
      </w:r>
    </w:p>
    <w:p w14:paraId="6AAA3507" w14:textId="735FD46F" w:rsidR="005F28BC" w:rsidRDefault="005F28BC" w:rsidP="00F76369">
      <w:pPr>
        <w:pStyle w:val="ListParagraph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F2175">
        <w:rPr>
          <w:rFonts w:ascii="Times New Roman" w:hAnsi="Times New Roman"/>
          <w:sz w:val="24"/>
          <w:szCs w:val="24"/>
        </w:rPr>
        <w:t>Linguistic support: Proof of attendance of courses in the form of a declarati</w:t>
      </w:r>
      <w:r w:rsidR="00193617" w:rsidRPr="00CF2175">
        <w:rPr>
          <w:rFonts w:ascii="Times New Roman" w:hAnsi="Times New Roman"/>
          <w:sz w:val="24"/>
          <w:szCs w:val="24"/>
        </w:rPr>
        <w:t>on signed by the course provider</w:t>
      </w:r>
      <w:r w:rsidRPr="00CF2175">
        <w:rPr>
          <w:rFonts w:ascii="Times New Roman" w:hAnsi="Times New Roman"/>
          <w:sz w:val="24"/>
          <w:szCs w:val="24"/>
        </w:rPr>
        <w:t>, specifying the name of the participant, the language taught and the duration of the linguistic support</w:t>
      </w:r>
      <w:r w:rsidR="00DE3BC8">
        <w:rPr>
          <w:rFonts w:ascii="Times New Roman" w:hAnsi="Times New Roman"/>
          <w:sz w:val="24"/>
          <w:szCs w:val="24"/>
        </w:rPr>
        <w:t>.</w:t>
      </w:r>
    </w:p>
    <w:p w14:paraId="3709C0B8" w14:textId="2126942E" w:rsidR="00DE3BC8" w:rsidRDefault="00DE3BC8" w:rsidP="004E2D2D">
      <w:pPr>
        <w:pStyle w:val="ListParagraph"/>
        <w:spacing w:before="120" w:after="120"/>
        <w:ind w:left="1843"/>
        <w:jc w:val="both"/>
        <w:rPr>
          <w:rFonts w:ascii="Times New Roman" w:hAnsi="Times New Roman"/>
          <w:sz w:val="24"/>
          <w:szCs w:val="24"/>
        </w:rPr>
      </w:pPr>
    </w:p>
    <w:p w14:paraId="600F7835" w14:textId="77777777" w:rsidR="00DE3BC8" w:rsidRPr="00CF2175" w:rsidRDefault="00DE3BC8" w:rsidP="004E2D2D">
      <w:pPr>
        <w:pStyle w:val="ListParagraph"/>
        <w:spacing w:before="120" w:after="120"/>
        <w:ind w:left="1843"/>
        <w:jc w:val="both"/>
        <w:rPr>
          <w:rFonts w:ascii="Times New Roman" w:hAnsi="Times New Roman"/>
          <w:sz w:val="24"/>
          <w:szCs w:val="24"/>
        </w:rPr>
      </w:pPr>
    </w:p>
    <w:p w14:paraId="239E063D" w14:textId="77777777" w:rsidR="00DE3BC8" w:rsidRPr="008C5FD8" w:rsidRDefault="00DE3BC8" w:rsidP="004E2D2D">
      <w:pPr>
        <w:pStyle w:val="ListBullet"/>
        <w:rPr>
          <w:b/>
          <w:bCs/>
          <w:lang w:val="en-US"/>
        </w:rPr>
      </w:pPr>
      <w:r w:rsidRPr="006C1E6D">
        <w:rPr>
          <w:b/>
          <w:bCs/>
          <w:lang w:val="en-US"/>
        </w:rPr>
        <w:t xml:space="preserve">Article II.2. </w:t>
      </w:r>
      <w:r w:rsidRPr="008C5FD8">
        <w:rPr>
          <w:b/>
          <w:bCs/>
          <w:lang w:val="en-US"/>
        </w:rPr>
        <w:t>Calculation of actual cost</w:t>
      </w:r>
    </w:p>
    <w:p w14:paraId="0062220A" w14:textId="76AAACCE" w:rsidR="00DE3BC8" w:rsidRPr="004E2D2D" w:rsidRDefault="00DE3BC8" w:rsidP="004E2D2D">
      <w:pPr>
        <w:spacing w:after="200"/>
        <w:jc w:val="both"/>
        <w:rPr>
          <w:rFonts w:ascii="Times New Roman" w:hAnsi="Times New Roman"/>
          <w:b/>
          <w:sz w:val="24"/>
          <w:szCs w:val="24"/>
        </w:rPr>
      </w:pPr>
      <w:r w:rsidRPr="00253358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A.  </w:t>
      </w:r>
      <w:r w:rsidR="00F76369" w:rsidRPr="00253358">
        <w:rPr>
          <w:rFonts w:ascii="Times New Roman" w:hAnsi="Times New Roman"/>
          <w:b/>
          <w:sz w:val="24"/>
          <w:szCs w:val="24"/>
          <w:highlight w:val="yellow"/>
          <w:u w:val="single"/>
        </w:rPr>
        <w:t>Inclusion</w:t>
      </w:r>
      <w:r w:rsidR="00F7636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4E2D2D">
        <w:rPr>
          <w:rFonts w:ascii="Times New Roman" w:hAnsi="Times New Roman"/>
          <w:b/>
          <w:sz w:val="24"/>
          <w:szCs w:val="24"/>
          <w:u w:val="single"/>
          <w:shd w:val="clear" w:color="auto" w:fill="FFFF00"/>
        </w:rPr>
        <w:t>support</w:t>
      </w:r>
      <w:r w:rsidR="00F76369">
        <w:rPr>
          <w:rFonts w:ascii="Times New Roman" w:hAnsi="Times New Roman"/>
          <w:b/>
          <w:sz w:val="24"/>
          <w:szCs w:val="24"/>
          <w:u w:val="single"/>
          <w:shd w:val="clear" w:color="auto" w:fill="FFFF00"/>
        </w:rPr>
        <w:t xml:space="preserve"> for participants</w:t>
      </w:r>
    </w:p>
    <w:p w14:paraId="26D0156B" w14:textId="0CB43FD8" w:rsidR="00DE3BC8" w:rsidRPr="004E2D2D" w:rsidRDefault="00DE3BC8" w:rsidP="004E2D2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E2D2D">
        <w:rPr>
          <w:rFonts w:ascii="Times New Roman" w:hAnsi="Times New Roman"/>
          <w:sz w:val="24"/>
          <w:szCs w:val="24"/>
        </w:rPr>
        <w:t xml:space="preserve">The beneficiary is allowed to transfer funds allocated for any budget category to </w:t>
      </w:r>
      <w:r w:rsidR="00F76369">
        <w:rPr>
          <w:rFonts w:ascii="Times New Roman" w:hAnsi="Times New Roman"/>
          <w:sz w:val="24"/>
          <w:szCs w:val="24"/>
        </w:rPr>
        <w:t>inclusion support</w:t>
      </w:r>
      <w:r w:rsidRPr="004E2D2D">
        <w:rPr>
          <w:rFonts w:ascii="Times New Roman" w:hAnsi="Times New Roman"/>
          <w:sz w:val="24"/>
          <w:szCs w:val="24"/>
        </w:rPr>
        <w:t>, even if initially no funds were allocated for this category.</w:t>
      </w:r>
    </w:p>
    <w:p w14:paraId="270E84F2" w14:textId="10E39000" w:rsidR="00DE3BC8" w:rsidRPr="004E2D2D" w:rsidRDefault="00DE3BC8" w:rsidP="004E2D2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E2D2D">
        <w:rPr>
          <w:rFonts w:ascii="Times New Roman" w:hAnsi="Times New Roman"/>
          <w:sz w:val="24"/>
          <w:szCs w:val="24"/>
        </w:rPr>
        <w:t xml:space="preserve">a) </w:t>
      </w:r>
      <w:r w:rsidRPr="004E2D2D">
        <w:rPr>
          <w:rFonts w:ascii="Times New Roman" w:hAnsi="Times New Roman"/>
          <w:sz w:val="24"/>
          <w:szCs w:val="24"/>
        </w:rPr>
        <w:tab/>
        <w:t xml:space="preserve">Calculation of the grant amount: the grant is a reimbursement of 100% of the eligible costs actually incurred. </w:t>
      </w:r>
    </w:p>
    <w:p w14:paraId="730F078F" w14:textId="7A01EF3F" w:rsidR="00DE3BC8" w:rsidRPr="004E2D2D" w:rsidRDefault="00DE3BC8" w:rsidP="004E2D2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E2D2D">
        <w:rPr>
          <w:rFonts w:ascii="Times New Roman" w:hAnsi="Times New Roman"/>
          <w:sz w:val="24"/>
          <w:szCs w:val="24"/>
        </w:rPr>
        <w:t xml:space="preserve">b) </w:t>
      </w:r>
      <w:r w:rsidRPr="004E2D2D">
        <w:rPr>
          <w:rFonts w:ascii="Times New Roman" w:hAnsi="Times New Roman"/>
          <w:sz w:val="24"/>
          <w:szCs w:val="24"/>
        </w:rPr>
        <w:tab/>
        <w:t xml:space="preserve">Eligible costs: costs directly related to participants with </w:t>
      </w:r>
      <w:r w:rsidR="00F76369">
        <w:rPr>
          <w:rFonts w:ascii="Times New Roman" w:hAnsi="Times New Roman"/>
          <w:sz w:val="24"/>
          <w:szCs w:val="24"/>
        </w:rPr>
        <w:t xml:space="preserve">fewer opportunities </w:t>
      </w:r>
      <w:r w:rsidRPr="004E2D2D">
        <w:rPr>
          <w:rFonts w:ascii="Times New Roman" w:hAnsi="Times New Roman"/>
          <w:sz w:val="24"/>
          <w:szCs w:val="24"/>
        </w:rPr>
        <w:t>and required to implement virtual activities.</w:t>
      </w:r>
    </w:p>
    <w:p w14:paraId="3B5BB96E" w14:textId="053EB183" w:rsidR="00DE3BC8" w:rsidRDefault="00DE3BC8" w:rsidP="004E2D2D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4E2D2D">
        <w:rPr>
          <w:rFonts w:ascii="Times New Roman" w:hAnsi="Times New Roman"/>
          <w:sz w:val="24"/>
          <w:szCs w:val="24"/>
        </w:rPr>
        <w:lastRenderedPageBreak/>
        <w:t xml:space="preserve">c) </w:t>
      </w:r>
      <w:r w:rsidRPr="004E2D2D">
        <w:rPr>
          <w:rFonts w:ascii="Times New Roman" w:hAnsi="Times New Roman"/>
          <w:sz w:val="24"/>
          <w:szCs w:val="24"/>
        </w:rPr>
        <w:tab/>
        <w:t>Supporting documents: invoices of the related costs specifying the name and address of the body issuing the invoice, the amount and currency, and the date of the invoice.</w:t>
      </w:r>
    </w:p>
    <w:p w14:paraId="7820D34E" w14:textId="3B8C4834" w:rsidR="00331C05" w:rsidRPr="00285D63" w:rsidRDefault="00331C05" w:rsidP="00285D63">
      <w:pPr>
        <w:spacing w:after="200"/>
        <w:jc w:val="both"/>
        <w:rPr>
          <w:rFonts w:ascii="Times New Roman" w:hAnsi="Times New Roman"/>
          <w:b/>
          <w:sz w:val="24"/>
          <w:szCs w:val="24"/>
          <w:u w:val="single"/>
          <w:shd w:val="clear" w:color="auto" w:fill="FFFF00"/>
        </w:rPr>
      </w:pPr>
    </w:p>
    <w:p w14:paraId="08E2556D" w14:textId="006804A9" w:rsidR="00F76369" w:rsidRPr="00F76369" w:rsidRDefault="00331C05" w:rsidP="00DA2D3F">
      <w:pPr>
        <w:spacing w:after="200"/>
        <w:jc w:val="both"/>
        <w:rPr>
          <w:rFonts w:ascii="Times New Roman" w:hAnsi="Times New Roman"/>
          <w:sz w:val="24"/>
          <w:szCs w:val="24"/>
        </w:rPr>
      </w:pPr>
      <w:r w:rsidRPr="00285D63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00"/>
          <w:lang w:val="en-GB" w:eastAsia="ar-SA"/>
        </w:rPr>
        <w:t>B. Exceptional costs</w:t>
      </w:r>
    </w:p>
    <w:p w14:paraId="51EF17D5" w14:textId="36EE850D" w:rsidR="00331C05" w:rsidRDefault="00F76369" w:rsidP="00DA2D3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331C05" w:rsidRPr="00943781">
        <w:rPr>
          <w:rFonts w:ascii="Times New Roman" w:hAnsi="Times New Roman"/>
          <w:sz w:val="24"/>
          <w:szCs w:val="24"/>
        </w:rPr>
        <w:t>Calculation of the grant amount: the grant is a reimbursement of 75% of the eligible costs</w:t>
      </w:r>
      <w:r w:rsidR="00331C05" w:rsidRPr="008C5FD8">
        <w:rPr>
          <w:rFonts w:ascii="Times New Roman" w:hAnsi="Times New Roman"/>
          <w:sz w:val="24"/>
          <w:szCs w:val="24"/>
        </w:rPr>
        <w:t xml:space="preserve"> actually incurred for buying and/or renting of equipment and/or services.</w:t>
      </w:r>
      <w:r w:rsidR="00331C05">
        <w:rPr>
          <w:rFonts w:ascii="Times New Roman" w:hAnsi="Times New Roman"/>
          <w:sz w:val="24"/>
          <w:szCs w:val="24"/>
        </w:rPr>
        <w:t xml:space="preserve"> </w:t>
      </w:r>
    </w:p>
    <w:p w14:paraId="5C7236D8" w14:textId="77777777" w:rsidR="00331C05" w:rsidRDefault="00331C05" w:rsidP="00DA2D3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Eligible costs: </w:t>
      </w:r>
      <w:r w:rsidRPr="00704F41">
        <w:rPr>
          <w:rFonts w:ascii="Times New Roman" w:hAnsi="Times New Roman"/>
          <w:sz w:val="24"/>
          <w:szCs w:val="24"/>
        </w:rPr>
        <w:t>cover costs related to buying and/or renting of equipment and/or services necessary for the implementation of virtual mobility activities</w:t>
      </w:r>
      <w:r>
        <w:rPr>
          <w:rFonts w:ascii="Times New Roman" w:hAnsi="Times New Roman"/>
          <w:sz w:val="24"/>
          <w:szCs w:val="24"/>
        </w:rPr>
        <w:t>.</w:t>
      </w:r>
    </w:p>
    <w:p w14:paraId="24AEEEF6" w14:textId="77777777" w:rsidR="00331C05" w:rsidRPr="00704F41" w:rsidRDefault="00331C05" w:rsidP="00DA2D3F">
      <w:p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Supporting documents: proof of payment of the cost incurred </w:t>
      </w:r>
      <w:proofErr w:type="gramStart"/>
      <w:r>
        <w:rPr>
          <w:rFonts w:ascii="Times New Roman" w:hAnsi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sz w:val="24"/>
          <w:szCs w:val="24"/>
        </w:rPr>
        <w:t xml:space="preserve"> invoices specifying the name and address of the body issuing the invoice, the amount and currency, and the date of the invoice.</w:t>
      </w:r>
    </w:p>
    <w:p w14:paraId="0FBAD37A" w14:textId="77777777" w:rsidR="00331C05" w:rsidRDefault="00331C05" w:rsidP="004E2D2D">
      <w:pPr>
        <w:ind w:left="284"/>
        <w:jc w:val="both"/>
        <w:rPr>
          <w:szCs w:val="24"/>
        </w:rPr>
      </w:pPr>
    </w:p>
    <w:p w14:paraId="45C0135B" w14:textId="77777777" w:rsidR="00DE3BC8" w:rsidRPr="004E2D2D" w:rsidRDefault="00DE3BC8" w:rsidP="004E2D2D">
      <w:pPr>
        <w:ind w:left="284"/>
        <w:jc w:val="both"/>
      </w:pPr>
    </w:p>
    <w:p w14:paraId="4B4DF0B3" w14:textId="77777777" w:rsidR="00BE2E6C" w:rsidRDefault="00BE2E6C" w:rsidP="00BE2E6C">
      <w:pPr>
        <w:pStyle w:val="ListBullet"/>
        <w:rPr>
          <w:b/>
        </w:rPr>
      </w:pPr>
    </w:p>
    <w:p w14:paraId="0A1FD82E" w14:textId="77777777" w:rsidR="007C634F" w:rsidRPr="00FA12B5" w:rsidRDefault="007C634F" w:rsidP="007C634F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SIGNATURES</w:t>
      </w:r>
    </w:p>
    <w:p w14:paraId="02B5118A" w14:textId="77777777" w:rsidR="007C634F" w:rsidRPr="00FA12B5" w:rsidRDefault="007C634F" w:rsidP="007C634F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776E90C7" w14:textId="77777777" w:rsidR="007C634F" w:rsidRDefault="007C634F" w:rsidP="007C634F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proofErr w:type="gramStart"/>
      <w:r w:rsidRPr="00FA12B5"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 w:rsidRPr="00FA12B5">
        <w:rPr>
          <w:rFonts w:ascii="Times New Roman" w:eastAsia="Times New Roman" w:hAnsi="Times New Roman"/>
          <w:sz w:val="24"/>
          <w:szCs w:val="20"/>
        </w:rPr>
        <w:t xml:space="preserve">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67B52498" w14:textId="77777777" w:rsidR="007C634F" w:rsidRPr="00FA12B5" w:rsidRDefault="007C634F" w:rsidP="007C634F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2B49C731" w14:textId="77777777" w:rsidR="007C634F" w:rsidRPr="00FA12B5" w:rsidRDefault="007C634F" w:rsidP="007C634F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7E9F77C4" w14:textId="532E2EB9" w:rsidR="00BE2E6C" w:rsidRPr="00537DFD" w:rsidRDefault="00BE2E6C" w:rsidP="00CD4075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sectPr w:rsidR="00BE2E6C" w:rsidRPr="00537DFD" w:rsidSect="00A14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7FD1836"/>
    <w:multiLevelType w:val="hybridMultilevel"/>
    <w:tmpl w:val="FBEC3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DA649AD"/>
    <w:multiLevelType w:val="hybridMultilevel"/>
    <w:tmpl w:val="6E344BE2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5365CCE"/>
    <w:multiLevelType w:val="hybridMultilevel"/>
    <w:tmpl w:val="EC6EB8E8"/>
    <w:lvl w:ilvl="0" w:tplc="0809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8" w15:restartNumberingAfterBreak="0">
    <w:nsid w:val="168E0AB4"/>
    <w:multiLevelType w:val="hybridMultilevel"/>
    <w:tmpl w:val="2392F15E"/>
    <w:lvl w:ilvl="0" w:tplc="F6B6251E">
      <w:start w:val="1"/>
      <w:numFmt w:val="bullet"/>
      <w:lvlText w:val="-"/>
      <w:lvlJc w:val="left"/>
      <w:pPr>
        <w:ind w:left="185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45D35E9"/>
    <w:multiLevelType w:val="hybridMultilevel"/>
    <w:tmpl w:val="E17E2C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4F7C8D"/>
    <w:multiLevelType w:val="hybridMultilevel"/>
    <w:tmpl w:val="DFE29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85050"/>
    <w:multiLevelType w:val="hybridMultilevel"/>
    <w:tmpl w:val="925A19F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F7817EC"/>
    <w:multiLevelType w:val="hybridMultilevel"/>
    <w:tmpl w:val="F04E8C56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29656B"/>
    <w:multiLevelType w:val="hybridMultilevel"/>
    <w:tmpl w:val="14987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BF7F02"/>
    <w:multiLevelType w:val="hybridMultilevel"/>
    <w:tmpl w:val="ABE6163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0E363F"/>
    <w:multiLevelType w:val="hybridMultilevel"/>
    <w:tmpl w:val="9822E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15"/>
  </w:num>
  <w:num w:numId="11">
    <w:abstractNumId w:val="9"/>
  </w:num>
  <w:num w:numId="12">
    <w:abstractNumId w:val="8"/>
  </w:num>
  <w:num w:numId="13">
    <w:abstractNumId w:val="7"/>
  </w:num>
  <w:num w:numId="14">
    <w:abstractNumId w:val="16"/>
  </w:num>
  <w:num w:numId="15">
    <w:abstractNumId w:val="10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A"/>
    <w:rsid w:val="00087403"/>
    <w:rsid w:val="000F6DC8"/>
    <w:rsid w:val="00113BE5"/>
    <w:rsid w:val="001300CE"/>
    <w:rsid w:val="0015698E"/>
    <w:rsid w:val="00193617"/>
    <w:rsid w:val="001D65E2"/>
    <w:rsid w:val="001E38B3"/>
    <w:rsid w:val="00253358"/>
    <w:rsid w:val="002709F7"/>
    <w:rsid w:val="00285D63"/>
    <w:rsid w:val="0031190D"/>
    <w:rsid w:val="00331C05"/>
    <w:rsid w:val="00365828"/>
    <w:rsid w:val="00391A95"/>
    <w:rsid w:val="003E3B62"/>
    <w:rsid w:val="003E65FD"/>
    <w:rsid w:val="00445E99"/>
    <w:rsid w:val="00462D50"/>
    <w:rsid w:val="004A7EC7"/>
    <w:rsid w:val="004B5FFA"/>
    <w:rsid w:val="004E2D2D"/>
    <w:rsid w:val="00531F21"/>
    <w:rsid w:val="00537DFD"/>
    <w:rsid w:val="005A685A"/>
    <w:rsid w:val="005F28BC"/>
    <w:rsid w:val="00614935"/>
    <w:rsid w:val="006555BF"/>
    <w:rsid w:val="00694008"/>
    <w:rsid w:val="006A0993"/>
    <w:rsid w:val="006B4372"/>
    <w:rsid w:val="006B6E6F"/>
    <w:rsid w:val="006F480F"/>
    <w:rsid w:val="00704F41"/>
    <w:rsid w:val="007A214D"/>
    <w:rsid w:val="007A6C56"/>
    <w:rsid w:val="007A7CF2"/>
    <w:rsid w:val="007C634F"/>
    <w:rsid w:val="007D2450"/>
    <w:rsid w:val="00805B9A"/>
    <w:rsid w:val="00807B66"/>
    <w:rsid w:val="0082698A"/>
    <w:rsid w:val="008F74D3"/>
    <w:rsid w:val="009378A5"/>
    <w:rsid w:val="00943781"/>
    <w:rsid w:val="00966E3D"/>
    <w:rsid w:val="009B5BC7"/>
    <w:rsid w:val="009D1886"/>
    <w:rsid w:val="00A1430D"/>
    <w:rsid w:val="00A42EAC"/>
    <w:rsid w:val="00A50106"/>
    <w:rsid w:val="00A96116"/>
    <w:rsid w:val="00AC41CD"/>
    <w:rsid w:val="00AE1361"/>
    <w:rsid w:val="00B30E6B"/>
    <w:rsid w:val="00B44629"/>
    <w:rsid w:val="00BA50AD"/>
    <w:rsid w:val="00BA7263"/>
    <w:rsid w:val="00BC786A"/>
    <w:rsid w:val="00BD4271"/>
    <w:rsid w:val="00BE0CF1"/>
    <w:rsid w:val="00BE2E6C"/>
    <w:rsid w:val="00BE4E18"/>
    <w:rsid w:val="00BE6739"/>
    <w:rsid w:val="00C31878"/>
    <w:rsid w:val="00CD4075"/>
    <w:rsid w:val="00CF2175"/>
    <w:rsid w:val="00D1537F"/>
    <w:rsid w:val="00D473CC"/>
    <w:rsid w:val="00D512FD"/>
    <w:rsid w:val="00DA2D3F"/>
    <w:rsid w:val="00DE3BC8"/>
    <w:rsid w:val="00E365C0"/>
    <w:rsid w:val="00E4534B"/>
    <w:rsid w:val="00EC0DA4"/>
    <w:rsid w:val="00F0013F"/>
    <w:rsid w:val="00F07794"/>
    <w:rsid w:val="00F16C7A"/>
    <w:rsid w:val="00F17032"/>
    <w:rsid w:val="00F76369"/>
    <w:rsid w:val="00F81D75"/>
    <w:rsid w:val="00FB650C"/>
    <w:rsid w:val="2834FD2C"/>
    <w:rsid w:val="44CFE4CB"/>
    <w:rsid w:val="4A242851"/>
    <w:rsid w:val="4B0EDD5C"/>
    <w:rsid w:val="58F76F0C"/>
    <w:rsid w:val="6344B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D98D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lWeb">
    <w:name w:val="Normal (Web)"/>
    <w:basedOn w:val="Normal"/>
    <w:uiPriority w:val="99"/>
    <w:unhideWhenUsed/>
    <w:rsid w:val="0065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A3D10FCD70A1B4D89E25A6CFD767620" ma:contentTypeVersion="8" ma:contentTypeDescription="Create a new document in this library." ma:contentTypeScope="" ma:versionID="1eb43855b963f74e945e3bf465265d94">
  <xsd:schema xmlns:xsd="http://www.w3.org/2001/XMLSchema" xmlns:xs="http://www.w3.org/2001/XMLSchema" xmlns:p="http://schemas.microsoft.com/office/2006/metadata/properties" xmlns:ns3="06c4ec55-18a8-46a7-90ad-d65950971fb2" targetNamespace="http://schemas.microsoft.com/office/2006/metadata/properties" ma:root="true" ma:fieldsID="00a5e4602cb25a3c42674261557c9cf4" ns3:_="">
    <xsd:import namespace="06c4ec55-18a8-46a7-90ad-d65950971fb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ec55-18a8-46a7-90ad-d65950971fb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06c4ec55-18a8-46a7-90ad-d65950971fb2" xsi:nil="true"/>
    <EC_Collab_Status xmlns="06c4ec55-18a8-46a7-90ad-d65950971fb2">Not Started</EC_Collab_Status>
    <EC_Collab_DocumentLanguage xmlns="06c4ec55-18a8-46a7-90ad-d65950971fb2">EN</EC_Collab_Document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F1D25-72FD-42F7-BDFB-F0E258A4E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4ec55-18a8-46a7-90ad-d6595097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DE62E-2C28-4410-BA16-6BC56E011F58}">
  <ds:schemaRefs>
    <ds:schemaRef ds:uri="http://purl.org/dc/elements/1.1/"/>
    <ds:schemaRef ds:uri="http://schemas.openxmlformats.org/package/2006/metadata/core-properties"/>
    <ds:schemaRef ds:uri="http://www.w3.org/XML/1998/namespace"/>
    <ds:schemaRef ds:uri="06c4ec55-18a8-46a7-90ad-d65950971fb2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F1B78C-EF60-4BCB-9299-1F48070D2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Egija Roze</cp:lastModifiedBy>
  <cp:revision>2</cp:revision>
  <dcterms:created xsi:type="dcterms:W3CDTF">2021-11-05T09:04:00Z</dcterms:created>
  <dcterms:modified xsi:type="dcterms:W3CDTF">2021-11-05T09:04:00Z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0x010100258AA79CEB83498886A3A08681123250008A3D10FCD70A1B4D89E25A6CFD767620</vt:lpwstr>
  </property>
</Properties>
</file>