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9F4127" w:rsidRDefault="0064265F" w:rsidP="009F4127">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4D694BE6" w14:textId="30F5F663"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198BF6E9" w:rsidR="00E03E59" w:rsidRDefault="00E03E59" w:rsidP="00E03E59">
      <w:pPr>
        <w:spacing w:after="12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lastRenderedPageBreak/>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stParagraph"/>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lastRenderedPageBreak/>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 </w:t>
      </w:r>
      <w:r w:rsidR="007123CA" w:rsidRPr="00DB0CC7">
        <w:rPr>
          <w:i/>
          <w:color w:val="4AA55B"/>
          <w:sz w:val="24"/>
          <w:szCs w:val="24"/>
          <w:lang w:val="en-US"/>
        </w:rPr>
        <w:t>]</w:t>
      </w:r>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r w:rsidR="007D2E98" w:rsidRPr="00D816DD">
        <w:rPr>
          <w:sz w:val="24"/>
          <w:szCs w:val="24"/>
          <w:lang w:val="en-GB"/>
        </w:rPr>
        <w:t xml:space="preserve">as long as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support</w:t>
      </w:r>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 xml:space="preserve">financial </w:t>
      </w:r>
      <w:r w:rsidR="00203C58" w:rsidRPr="00D816DD">
        <w:rPr>
          <w:sz w:val="24"/>
          <w:szCs w:val="24"/>
          <w:lang w:val="en-GB"/>
        </w:rPr>
        <w:lastRenderedPageBreak/>
        <w:t>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11115F0D"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sidR="007B6CEB">
        <w:rPr>
          <w:sz w:val="24"/>
          <w:szCs w:val="24"/>
          <w:highlight w:val="yellow"/>
          <w:lang w:val="en-GB"/>
        </w:rPr>
        <w:t>6</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630B2E2D"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insurance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w:t>
      </w:r>
      <w:r w:rsidR="003912C2">
        <w:rPr>
          <w:sz w:val="24"/>
          <w:szCs w:val="24"/>
          <w:highlight w:val="yellow"/>
          <w:lang w:val="en-GB"/>
        </w:rPr>
        <w:t>6</w:t>
      </w:r>
      <w:r w:rsidR="006575B8" w:rsidRPr="00D816DD">
        <w:rPr>
          <w:sz w:val="24"/>
          <w:szCs w:val="24"/>
          <w:highlight w:val="yellow"/>
          <w:lang w:val="en-GB"/>
        </w:rPr>
        <w:t>.2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r w:rsidRPr="00666521">
        <w:rPr>
          <w:sz w:val="24"/>
          <w:szCs w:val="24"/>
          <w:lang w:val="en-GB"/>
        </w:rPr>
        <w:t>][</w:t>
      </w:r>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lastRenderedPageBreak/>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participant breaches any of its obligations under this Article, the grant may be reduced.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000000"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6C79D60B"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7A6E73A8"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sidRPr="009F4127">
        <w:rPr>
          <w:sz w:val="24"/>
          <w:szCs w:val="24"/>
          <w:lang w:val="en-GB"/>
        </w:rPr>
        <w:t xml:space="preserve"> </w:t>
      </w:r>
      <w:r w:rsidR="00050236">
        <w:rPr>
          <w:sz w:val="24"/>
          <w:szCs w:val="24"/>
          <w:lang w:val="en-GB"/>
        </w:rPr>
        <w:t>,</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571D8E85"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Default="00AD547D">
      <w:pPr>
        <w:pStyle w:val="ListParagraph"/>
        <w:numPr>
          <w:ilvl w:val="0"/>
          <w:numId w:val="11"/>
        </w:numPr>
        <w:tabs>
          <w:tab w:val="left" w:pos="1701"/>
        </w:tabs>
        <w:jc w:val="both"/>
        <w:rPr>
          <w:highlight w:val="yellow"/>
          <w:lang w:val="en-GB"/>
        </w:rPr>
        <w:sectPr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25A0" w14:textId="77777777" w:rsidR="00A863BE" w:rsidRDefault="00A863BE">
      <w:r>
        <w:separator/>
      </w:r>
    </w:p>
  </w:endnote>
  <w:endnote w:type="continuationSeparator" w:id="0">
    <w:p w14:paraId="5EC121A8" w14:textId="77777777" w:rsidR="00A863BE" w:rsidRDefault="00A863BE">
      <w:r>
        <w:continuationSeparator/>
      </w:r>
    </w:p>
  </w:endnote>
  <w:endnote w:type="continuationNotice" w:id="1">
    <w:p w14:paraId="3B014439" w14:textId="77777777" w:rsidR="00A863BE" w:rsidRDefault="00A86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44E4" w14:textId="77777777" w:rsidR="00A863BE" w:rsidRDefault="00A863BE">
      <w:r>
        <w:separator/>
      </w:r>
    </w:p>
  </w:footnote>
  <w:footnote w:type="continuationSeparator" w:id="0">
    <w:p w14:paraId="722681B7" w14:textId="77777777" w:rsidR="00A863BE" w:rsidRDefault="00A863BE">
      <w:r>
        <w:continuationSeparator/>
      </w:r>
    </w:p>
  </w:footnote>
  <w:footnote w:type="continuationNotice" w:id="1">
    <w:p w14:paraId="448A796E" w14:textId="77777777" w:rsidR="00A863BE" w:rsidRDefault="00A863BE"/>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0E2" w14:textId="77777777" w:rsidR="00CB37AC" w:rsidRDefault="00C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815" w14:textId="77777777" w:rsidR="00CB37AC" w:rsidRDefault="00C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18831375">
    <w:abstractNumId w:val="2"/>
  </w:num>
  <w:num w:numId="2" w16cid:durableId="768430398">
    <w:abstractNumId w:val="6"/>
  </w:num>
  <w:num w:numId="3" w16cid:durableId="762989464">
    <w:abstractNumId w:val="9"/>
  </w:num>
  <w:num w:numId="4" w16cid:durableId="7754482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453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259652">
    <w:abstractNumId w:val="13"/>
  </w:num>
  <w:num w:numId="7" w16cid:durableId="1720588095">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415280121">
    <w:abstractNumId w:val="0"/>
  </w:num>
  <w:num w:numId="9" w16cid:durableId="1652978897">
    <w:abstractNumId w:val="10"/>
  </w:num>
  <w:num w:numId="10" w16cid:durableId="800808288">
    <w:abstractNumId w:val="1"/>
  </w:num>
  <w:num w:numId="11" w16cid:durableId="1951861891">
    <w:abstractNumId w:val="3"/>
  </w:num>
  <w:num w:numId="12" w16cid:durableId="1770655258">
    <w:abstractNumId w:val="12"/>
  </w:num>
  <w:num w:numId="13" w16cid:durableId="1352605104">
    <w:abstractNumId w:val="14"/>
  </w:num>
  <w:num w:numId="14" w16cid:durableId="525607299">
    <w:abstractNumId w:val="5"/>
  </w:num>
  <w:num w:numId="15" w16cid:durableId="1265461708">
    <w:abstractNumId w:val="15"/>
  </w:num>
  <w:num w:numId="16" w16cid:durableId="982471094">
    <w:abstractNumId w:val="17"/>
  </w:num>
  <w:num w:numId="17" w16cid:durableId="685983860">
    <w:abstractNumId w:val="4"/>
  </w:num>
  <w:num w:numId="18" w16cid:durableId="1243956240">
    <w:abstractNumId w:val="11"/>
  </w:num>
  <w:num w:numId="19" w16cid:durableId="8272811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12C2"/>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3232"/>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6CEB"/>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63BE"/>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10494</Words>
  <Characters>5982</Characters>
  <Application>Microsoft Office Word</Application>
  <DocSecurity>0</DocSecurity>
  <Lines>49</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Līga Jeroščeva</cp:lastModifiedBy>
  <cp:revision>4</cp:revision>
  <cp:lastPrinted>2021-08-23T13:05:00Z</cp:lastPrinted>
  <dcterms:created xsi:type="dcterms:W3CDTF">2023-06-01T11:41:00Z</dcterms:created>
  <dcterms:modified xsi:type="dcterms:W3CDTF">2023-11-23T09:45:00Z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