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0DC8CB21"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6B256AE8"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7D7A76BA"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lastRenderedPageBreak/>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6B72A912"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w:t>
      </w:r>
      <w:r w:rsidR="00683DC3">
        <w:rPr>
          <w:sz w:val="24"/>
          <w:szCs w:val="24"/>
          <w:lang w:val="en-GB"/>
        </w:rPr>
        <w:t>]</w:t>
      </w:r>
      <w:r w:rsidRPr="00463271">
        <w:rPr>
          <w:rStyle w:val="FootnoteReference"/>
          <w:sz w:val="24"/>
          <w:szCs w:val="24"/>
          <w:vertAlign w:val="superscript"/>
          <w:lang w:val="en-GB"/>
        </w:rPr>
        <w:footnoteReference w:id="2"/>
      </w:r>
    </w:p>
    <w:p w14:paraId="009FB3BC" w14:textId="59842382" w:rsidR="00F9359A" w:rsidRPr="00130108" w:rsidRDefault="00F9359A" w:rsidP="00463271">
      <w:pPr>
        <w:spacing w:after="120"/>
        <w:rPr>
          <w:iCs/>
          <w:sz w:val="24"/>
          <w:szCs w:val="24"/>
          <w:lang w:val="en-GB"/>
        </w:rPr>
      </w:pPr>
      <w:r>
        <w:rPr>
          <w:sz w:val="24"/>
          <w:szCs w:val="24"/>
          <w:lang w:val="en-GB"/>
        </w:rPr>
        <w:tab/>
        <w:t xml:space="preserve">Annex 2: </w:t>
      </w:r>
      <w:r w:rsidR="00683DC3">
        <w:rPr>
          <w:sz w:val="24"/>
          <w:szCs w:val="24"/>
          <w:lang w:val="en-GB"/>
        </w:rPr>
        <w:t>Erasmus Student Charter</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439D3350"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40F35FEA"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57812">
        <w:rPr>
          <w:sz w:val="24"/>
          <w:szCs w:val="24"/>
          <w:lang w:val="en-IE"/>
        </w:rPr>
        <w:t>202</w:t>
      </w:r>
      <w:r w:rsidR="00D57812" w:rsidRPr="00D57812">
        <w:rPr>
          <w:sz w:val="24"/>
          <w:szCs w:val="24"/>
          <w:lang w:val="en-IE"/>
        </w:rPr>
        <w:t>3</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w:t>
      </w:r>
      <w:r w:rsidR="00B95D50" w:rsidRPr="00D816DD">
        <w:rPr>
          <w:sz w:val="24"/>
          <w:szCs w:val="24"/>
          <w:highlight w:val="yellow"/>
          <w:lang w:val="en-GB"/>
        </w:rPr>
        <w:lastRenderedPageBreak/>
        <w:t xml:space="preserve">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1FF7B3B0"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3AEA0640"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lastRenderedPageBreak/>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826559"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5.3,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lastRenderedPageBreak/>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t>
      </w:r>
      <w:proofErr w:type="gramStart"/>
      <w:r w:rsidR="001E277E" w:rsidRPr="0004025C">
        <w:rPr>
          <w:sz w:val="24"/>
          <w:szCs w:val="24"/>
          <w:lang w:val="en-GB"/>
        </w:rPr>
        <w:t>with regard to</w:t>
      </w:r>
      <w:proofErr w:type="gramEnd"/>
      <w:r w:rsidR="001E277E" w:rsidRPr="0004025C">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1E277E" w:rsidRPr="0004025C">
        <w:rPr>
          <w:sz w:val="24"/>
          <w:szCs w:val="24"/>
          <w:lang w:val="en-GB"/>
        </w:rPr>
        <w:t>Agency</w:t>
      </w:r>
      <w:proofErr w:type="gramEnd"/>
      <w:r w:rsidR="001E277E" w:rsidRPr="0004025C">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1E277E" w:rsidRPr="0004025C">
        <w:rPr>
          <w:sz w:val="24"/>
          <w:szCs w:val="24"/>
          <w:lang w:val="en-GB"/>
        </w:rPr>
        <w:t>with regard to</w:t>
      </w:r>
      <w:proofErr w:type="gramEnd"/>
      <w:r w:rsidR="001E277E" w:rsidRPr="0004025C">
        <w:rPr>
          <w:sz w:val="24"/>
          <w:szCs w:val="24"/>
          <w:lang w:val="en-GB"/>
        </w:rPr>
        <w:t xml:space="preserve">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lastRenderedPageBreak/>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654861B6"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3A6876">
        <w:rPr>
          <w:sz w:val="24"/>
          <w:szCs w:val="24"/>
          <w:lang w:val="en-GB"/>
        </w:rPr>
        <w:t>Latvia</w:t>
      </w:r>
      <w:r w:rsidR="007D2907" w:rsidRPr="0004025C">
        <w:rPr>
          <w:sz w:val="24"/>
          <w:szCs w:val="24"/>
          <w:lang w:val="en-GB"/>
        </w:rPr>
        <w:t xml:space="preserve"> or by any other outside body authorised by the European Commission or the National Agency of </w:t>
      </w:r>
      <w:r w:rsidR="003A6876">
        <w:rPr>
          <w:sz w:val="24"/>
          <w:szCs w:val="24"/>
          <w:lang w:val="en-GB"/>
        </w:rPr>
        <w:t>Latvia</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 xml:space="preserve">Each party of this agreement shall exonerate the other from any civil liability for damages suffered by them or their staff </w:t>
      </w:r>
      <w:proofErr w:type="gramStart"/>
      <w:r w:rsidR="001E277E" w:rsidRPr="0004025C">
        <w:rPr>
          <w:sz w:val="24"/>
          <w:szCs w:val="24"/>
          <w:lang w:val="en-GB"/>
        </w:rPr>
        <w:t>as a result of</w:t>
      </w:r>
      <w:proofErr w:type="gramEnd"/>
      <w:r w:rsidR="001E277E" w:rsidRPr="0004025C">
        <w:rPr>
          <w:sz w:val="24"/>
          <w:szCs w:val="24"/>
          <w:lang w:val="en-GB"/>
        </w:rPr>
        <w:t xml:space="preserve"> performance of this agreement, provided such damages are not the result of serious and deliberate misconduct on the part of the other party or his staff.</w:t>
      </w:r>
    </w:p>
    <w:p w14:paraId="71A24163" w14:textId="1085A50D"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3A6876">
        <w:rPr>
          <w:sz w:val="24"/>
          <w:szCs w:val="24"/>
          <w:lang w:val="en-GB"/>
        </w:rPr>
        <w:t>Latvi</w:t>
      </w:r>
      <w:r w:rsidR="003A6876" w:rsidRPr="003A6876">
        <w:rPr>
          <w:sz w:val="24"/>
          <w:szCs w:val="24"/>
          <w:lang w:val="en-GB"/>
        </w:rPr>
        <w:t>a</w:t>
      </w:r>
      <w:r w:rsidR="001E277E" w:rsidRPr="003A6876">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3A6876">
        <w:rPr>
          <w:sz w:val="24"/>
          <w:szCs w:val="24"/>
          <w:lang w:val="en-GB"/>
        </w:rPr>
        <w:t>Latvia</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4F087E2E"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404829" w:rsidRPr="003B5293">
        <w:rPr>
          <w:sz w:val="24"/>
          <w:szCs w:val="24"/>
          <w:lang w:val="en-GB"/>
        </w:rPr>
        <w:t>laws of Republic of Latvia</w:t>
      </w:r>
      <w:r w:rsidR="00404829">
        <w:rPr>
          <w:lang w:val="en-GB"/>
        </w:rPr>
        <w:t>.</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007D2907" w:rsidRPr="0004025C">
        <w:rPr>
          <w:sz w:val="24"/>
          <w:szCs w:val="24"/>
          <w:lang w:val="en-GB"/>
        </w:rPr>
        <w:t>application</w:t>
      </w:r>
      <w:proofErr w:type="gramEnd"/>
      <w:r w:rsidR="007D2907" w:rsidRPr="0004025C">
        <w:rPr>
          <w:sz w:val="24"/>
          <w:szCs w:val="24"/>
          <w:lang w:val="en-GB"/>
        </w:rPr>
        <w:t xml:space="preserve">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0D2FC52" w14:textId="7219AE46" w:rsidR="00137EB2" w:rsidRPr="00891244" w:rsidRDefault="00CB793B" w:rsidP="2156E4C0">
      <w:pPr>
        <w:tabs>
          <w:tab w:val="left" w:pos="1701"/>
        </w:tabs>
        <w:jc w:val="center"/>
        <w:rPr>
          <w:b/>
          <w:bCs/>
          <w:szCs w:val="16"/>
          <w:lang w:val="en-GB"/>
        </w:rPr>
      </w:pPr>
      <w:r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0C6E" w14:textId="77777777" w:rsidR="00271100" w:rsidRDefault="00271100">
      <w:r>
        <w:separator/>
      </w:r>
    </w:p>
  </w:endnote>
  <w:endnote w:type="continuationSeparator" w:id="0">
    <w:p w14:paraId="52C723C3" w14:textId="77777777" w:rsidR="00271100" w:rsidRDefault="00271100">
      <w:r>
        <w:continuationSeparator/>
      </w:r>
    </w:p>
  </w:endnote>
  <w:endnote w:type="continuationNotice" w:id="1">
    <w:p w14:paraId="5894C6A6" w14:textId="77777777" w:rsidR="00271100" w:rsidRDefault="00271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9085" w14:textId="77777777" w:rsidR="00271100" w:rsidRDefault="00271100">
      <w:r>
        <w:separator/>
      </w:r>
    </w:p>
  </w:footnote>
  <w:footnote w:type="continuationSeparator" w:id="0">
    <w:p w14:paraId="3197726C" w14:textId="77777777" w:rsidR="00271100" w:rsidRDefault="00271100">
      <w:r>
        <w:continuationSeparator/>
      </w:r>
    </w:p>
  </w:footnote>
  <w:footnote w:type="continuationNotice" w:id="1">
    <w:p w14:paraId="0DFF345E" w14:textId="77777777" w:rsidR="00271100" w:rsidRDefault="00271100"/>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133B2E47"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(KA171)</w:t>
    </w:r>
    <w:r w:rsidR="00E0162A">
      <w:rPr>
        <w:rFonts w:ascii="Arial Narrow" w:hAnsi="Arial Narrow" w:cs="Arial"/>
        <w:sz w:val="18"/>
        <w:szCs w:val="18"/>
        <w:u w:val="single"/>
        <w:lang w:val="en-GB"/>
      </w:rPr>
      <w:t xml:space="preserve"> Student</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2059157367">
    <w:abstractNumId w:val="1"/>
  </w:num>
  <w:num w:numId="2" w16cid:durableId="1453016359">
    <w:abstractNumId w:val="2"/>
  </w:num>
  <w:num w:numId="3" w16cid:durableId="692533283">
    <w:abstractNumId w:val="5"/>
  </w:num>
  <w:num w:numId="4" w16cid:durableId="232664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867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029342">
    <w:abstractNumId w:val="8"/>
  </w:num>
  <w:num w:numId="7" w16cid:durableId="105377040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93809464">
    <w:abstractNumId w:val="0"/>
  </w:num>
  <w:num w:numId="9" w16cid:durableId="921841941">
    <w:abstractNumId w:val="6"/>
  </w:num>
  <w:num w:numId="10" w16cid:durableId="1426995986">
    <w:abstractNumId w:val="10"/>
  </w:num>
  <w:num w:numId="11" w16cid:durableId="1500847652">
    <w:abstractNumId w:val="7"/>
  </w:num>
  <w:num w:numId="12" w16cid:durableId="1362822410">
    <w:abstractNumId w:val="7"/>
  </w:num>
  <w:num w:numId="13" w16cid:durableId="1655404704">
    <w:abstractNumId w:val="7"/>
  </w:num>
  <w:num w:numId="14" w16cid:durableId="896358441">
    <w:abstractNumId w:val="9"/>
  </w:num>
  <w:num w:numId="15" w16cid:durableId="769353012">
    <w:abstractNumId w:val="11"/>
  </w:num>
  <w:num w:numId="16" w16cid:durableId="115332738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0108"/>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100"/>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876"/>
    <w:rsid w:val="003A6DDC"/>
    <w:rsid w:val="003B249D"/>
    <w:rsid w:val="003B2A22"/>
    <w:rsid w:val="003B2C38"/>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829"/>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5C0"/>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1BAB"/>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3C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57812"/>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62A"/>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1D07B5"/>
    <w:rsid w:val="005152EE"/>
    <w:rsid w:val="00697C2D"/>
    <w:rsid w:val="00A47229"/>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10777</Words>
  <Characters>6144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10</cp:revision>
  <cp:lastPrinted>2015-03-04T15:51:00Z</cp:lastPrinted>
  <dcterms:created xsi:type="dcterms:W3CDTF">2023-06-01T11:40:00Z</dcterms:created>
  <dcterms:modified xsi:type="dcterms:W3CDTF">2023-07-20T11:52:00Z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