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ABD9F" w14:textId="6634999D" w:rsidR="00194487" w:rsidRPr="00B85A28" w:rsidRDefault="00194487" w:rsidP="00194487">
      <w:pPr>
        <w:jc w:val="both"/>
        <w:rPr>
          <w:rFonts w:cs="Calibri"/>
          <w:b/>
          <w:sz w:val="20"/>
          <w:szCs w:val="20"/>
        </w:rPr>
      </w:pPr>
      <w:r w:rsidRPr="00B85A28">
        <w:rPr>
          <w:rFonts w:cs="Calibri"/>
          <w:b/>
          <w:sz w:val="20"/>
          <w:szCs w:val="20"/>
        </w:rPr>
        <w:t>Country: The Republic of Uzbekistan, Karakalpakstan</w:t>
      </w:r>
    </w:p>
    <w:p w14:paraId="4C6975EC" w14:textId="77777777" w:rsidR="00194487" w:rsidRPr="00B85A28" w:rsidRDefault="00194487" w:rsidP="00194487">
      <w:pPr>
        <w:jc w:val="both"/>
        <w:rPr>
          <w:rFonts w:cs="Calibri"/>
          <w:b/>
          <w:sz w:val="20"/>
          <w:szCs w:val="20"/>
        </w:rPr>
      </w:pPr>
      <w:r w:rsidRPr="00B85A28">
        <w:rPr>
          <w:b/>
          <w:sz w:val="20"/>
          <w:szCs w:val="20"/>
          <w:lang w:val="en-GB"/>
        </w:rPr>
        <w:t>Institution: Nukus Branch of Tashkent University of Information Technologies, TUIT NB</w:t>
      </w:r>
    </w:p>
    <w:p w14:paraId="475B03F5" w14:textId="77777777" w:rsidR="00194487" w:rsidRPr="00B85A28" w:rsidRDefault="00194487" w:rsidP="00194487">
      <w:pPr>
        <w:jc w:val="both"/>
        <w:rPr>
          <w:rFonts w:cs="Calibri"/>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64A2"/>
        <w:tblLook w:val="04A0" w:firstRow="1" w:lastRow="0" w:firstColumn="1" w:lastColumn="0" w:noHBand="0" w:noVBand="1"/>
      </w:tblPr>
      <w:tblGrid>
        <w:gridCol w:w="9493"/>
      </w:tblGrid>
      <w:tr w:rsidR="00194487" w:rsidRPr="00B85A28" w14:paraId="4A57F0DE" w14:textId="77777777" w:rsidTr="000411EA">
        <w:tc>
          <w:tcPr>
            <w:tcW w:w="9493" w:type="dxa"/>
            <w:shd w:val="clear" w:color="auto" w:fill="8064A2"/>
          </w:tcPr>
          <w:p w14:paraId="09B39B42" w14:textId="77777777" w:rsidR="00194487" w:rsidRPr="00B85A28" w:rsidRDefault="00194487" w:rsidP="00637B0B">
            <w:pPr>
              <w:rPr>
                <w:b/>
                <w:sz w:val="20"/>
                <w:szCs w:val="20"/>
                <w:lang w:val="en-GB"/>
              </w:rPr>
            </w:pPr>
            <w:r w:rsidRPr="00B85A28">
              <w:rPr>
                <w:b/>
                <w:color w:val="FFFFFF" w:themeColor="background1"/>
                <w:sz w:val="20"/>
                <w:szCs w:val="20"/>
                <w:lang w:val="en-GB"/>
              </w:rPr>
              <w:t>Institution</w:t>
            </w:r>
          </w:p>
        </w:tc>
      </w:tr>
    </w:tbl>
    <w:p w14:paraId="2AC04FD6" w14:textId="77777777" w:rsidR="00194487" w:rsidRPr="00B85A28" w:rsidRDefault="00194487" w:rsidP="00194487">
      <w:pPr>
        <w:rPr>
          <w:b/>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237"/>
      </w:tblGrid>
      <w:tr w:rsidR="00194487" w:rsidRPr="00B85A28" w14:paraId="31A50FB1" w14:textId="77777777" w:rsidTr="000411EA">
        <w:tc>
          <w:tcPr>
            <w:tcW w:w="3256" w:type="dxa"/>
            <w:shd w:val="clear" w:color="auto" w:fill="auto"/>
          </w:tcPr>
          <w:p w14:paraId="2EC3A0C1" w14:textId="77777777" w:rsidR="00194487" w:rsidRPr="00B85A28" w:rsidRDefault="00194487" w:rsidP="00637B0B">
            <w:pPr>
              <w:rPr>
                <w:b/>
                <w:sz w:val="20"/>
                <w:szCs w:val="20"/>
                <w:lang w:val="en-GB"/>
              </w:rPr>
            </w:pPr>
            <w:r w:rsidRPr="00B85A28">
              <w:rPr>
                <w:b/>
                <w:sz w:val="20"/>
                <w:szCs w:val="20"/>
                <w:lang w:val="en-GB"/>
              </w:rPr>
              <w:t>Name of Institution</w:t>
            </w:r>
          </w:p>
        </w:tc>
        <w:tc>
          <w:tcPr>
            <w:tcW w:w="6237" w:type="dxa"/>
            <w:shd w:val="clear" w:color="auto" w:fill="auto"/>
          </w:tcPr>
          <w:p w14:paraId="21FAE80D" w14:textId="77777777" w:rsidR="00194487" w:rsidRPr="00B85A28" w:rsidRDefault="00194487" w:rsidP="00637B0B">
            <w:pPr>
              <w:rPr>
                <w:sz w:val="20"/>
                <w:szCs w:val="20"/>
                <w:lang w:val="en-GB"/>
              </w:rPr>
            </w:pPr>
            <w:r w:rsidRPr="00B85A28">
              <w:rPr>
                <w:b/>
                <w:sz w:val="20"/>
                <w:szCs w:val="20"/>
                <w:lang w:val="en-GB"/>
              </w:rPr>
              <w:t>Nukus Branch of Tashkent University of Information Technologies, TUIT NB</w:t>
            </w:r>
          </w:p>
        </w:tc>
      </w:tr>
      <w:tr w:rsidR="00194487" w:rsidRPr="00B85A28" w14:paraId="22C6C53C" w14:textId="77777777" w:rsidTr="000411EA">
        <w:tc>
          <w:tcPr>
            <w:tcW w:w="3256" w:type="dxa"/>
            <w:shd w:val="clear" w:color="auto" w:fill="auto"/>
          </w:tcPr>
          <w:p w14:paraId="2457D264" w14:textId="77777777" w:rsidR="00194487" w:rsidRPr="00B85A28" w:rsidRDefault="00194487" w:rsidP="00637B0B">
            <w:pPr>
              <w:rPr>
                <w:b/>
                <w:sz w:val="20"/>
                <w:szCs w:val="20"/>
                <w:lang w:val="en-GB"/>
              </w:rPr>
            </w:pPr>
            <w:r w:rsidRPr="00B85A28">
              <w:rPr>
                <w:b/>
                <w:sz w:val="20"/>
                <w:szCs w:val="20"/>
                <w:lang w:val="en-GB"/>
              </w:rPr>
              <w:t>Head of Institution</w:t>
            </w:r>
          </w:p>
        </w:tc>
        <w:tc>
          <w:tcPr>
            <w:tcW w:w="6237" w:type="dxa"/>
            <w:shd w:val="clear" w:color="auto" w:fill="auto"/>
          </w:tcPr>
          <w:p w14:paraId="582F1F0B" w14:textId="77777777" w:rsidR="00194487" w:rsidRPr="00B85A28" w:rsidRDefault="00194487" w:rsidP="00637B0B">
            <w:pPr>
              <w:rPr>
                <w:sz w:val="20"/>
                <w:szCs w:val="20"/>
                <w:lang w:val="es-ES"/>
              </w:rPr>
            </w:pPr>
            <w:r w:rsidRPr="00B85A28">
              <w:rPr>
                <w:sz w:val="20"/>
                <w:szCs w:val="20"/>
                <w:lang w:val="es-ES"/>
              </w:rPr>
              <w:t>Prof. Batyrbek Kaipbergenov, DSc, Director of the university</w:t>
            </w:r>
          </w:p>
        </w:tc>
      </w:tr>
      <w:tr w:rsidR="00194487" w:rsidRPr="00B85A28" w14:paraId="54324044" w14:textId="77777777" w:rsidTr="000411EA">
        <w:tc>
          <w:tcPr>
            <w:tcW w:w="3256" w:type="dxa"/>
            <w:shd w:val="clear" w:color="auto" w:fill="auto"/>
          </w:tcPr>
          <w:p w14:paraId="3E895947" w14:textId="77777777" w:rsidR="00194487" w:rsidRPr="00B85A28" w:rsidRDefault="00194487" w:rsidP="00637B0B">
            <w:pPr>
              <w:rPr>
                <w:b/>
                <w:sz w:val="20"/>
                <w:szCs w:val="20"/>
                <w:lang w:val="en-GB"/>
              </w:rPr>
            </w:pPr>
            <w:r w:rsidRPr="00B85A28">
              <w:rPr>
                <w:b/>
                <w:sz w:val="20"/>
                <w:szCs w:val="20"/>
                <w:lang w:val="en-GB"/>
              </w:rPr>
              <w:t>Address</w:t>
            </w:r>
          </w:p>
        </w:tc>
        <w:tc>
          <w:tcPr>
            <w:tcW w:w="6237" w:type="dxa"/>
            <w:shd w:val="clear" w:color="auto" w:fill="auto"/>
          </w:tcPr>
          <w:p w14:paraId="3632C166" w14:textId="77777777" w:rsidR="00194487" w:rsidRPr="00B85A28" w:rsidRDefault="00194487" w:rsidP="00637B0B">
            <w:pPr>
              <w:rPr>
                <w:sz w:val="20"/>
                <w:szCs w:val="20"/>
                <w:lang w:val="es-ES"/>
              </w:rPr>
            </w:pPr>
            <w:r w:rsidRPr="00B85A28">
              <w:rPr>
                <w:sz w:val="20"/>
                <w:szCs w:val="20"/>
                <w:lang w:val="es-ES"/>
              </w:rPr>
              <w:t>74, str. Dosnazarov, Nukus city 230100</w:t>
            </w:r>
          </w:p>
        </w:tc>
      </w:tr>
      <w:tr w:rsidR="00194487" w:rsidRPr="00B85A28" w14:paraId="334FF416" w14:textId="77777777" w:rsidTr="000411EA">
        <w:tc>
          <w:tcPr>
            <w:tcW w:w="3256" w:type="dxa"/>
            <w:shd w:val="clear" w:color="auto" w:fill="auto"/>
          </w:tcPr>
          <w:p w14:paraId="26D86538" w14:textId="77777777" w:rsidR="00194487" w:rsidRPr="00B85A28" w:rsidRDefault="00194487" w:rsidP="00637B0B">
            <w:pPr>
              <w:rPr>
                <w:b/>
                <w:sz w:val="20"/>
                <w:szCs w:val="20"/>
                <w:lang w:val="en-GB"/>
              </w:rPr>
            </w:pPr>
            <w:r w:rsidRPr="00B85A28">
              <w:rPr>
                <w:rFonts w:cs="Calibri"/>
                <w:b/>
                <w:sz w:val="20"/>
                <w:szCs w:val="20"/>
              </w:rPr>
              <w:t>Country</w:t>
            </w:r>
          </w:p>
        </w:tc>
        <w:tc>
          <w:tcPr>
            <w:tcW w:w="6237" w:type="dxa"/>
            <w:shd w:val="clear" w:color="auto" w:fill="auto"/>
          </w:tcPr>
          <w:p w14:paraId="56AFDA20" w14:textId="77777777" w:rsidR="00194487" w:rsidRPr="00B85A28" w:rsidRDefault="00194487" w:rsidP="00637B0B">
            <w:pPr>
              <w:rPr>
                <w:sz w:val="20"/>
                <w:szCs w:val="20"/>
                <w:lang w:val="es-ES"/>
              </w:rPr>
            </w:pPr>
            <w:r w:rsidRPr="00B85A28">
              <w:rPr>
                <w:sz w:val="20"/>
                <w:szCs w:val="20"/>
                <w:lang w:val="es-ES"/>
              </w:rPr>
              <w:t>Uzbekistan</w:t>
            </w:r>
          </w:p>
        </w:tc>
      </w:tr>
      <w:tr w:rsidR="00194487" w:rsidRPr="00B85A28" w14:paraId="4E061661" w14:textId="77777777" w:rsidTr="000411EA">
        <w:tc>
          <w:tcPr>
            <w:tcW w:w="3256" w:type="dxa"/>
            <w:shd w:val="clear" w:color="auto" w:fill="auto"/>
          </w:tcPr>
          <w:p w14:paraId="1D53D081" w14:textId="77777777" w:rsidR="00194487" w:rsidRPr="00B85A28" w:rsidRDefault="00194487" w:rsidP="00637B0B">
            <w:pPr>
              <w:rPr>
                <w:b/>
                <w:sz w:val="20"/>
                <w:szCs w:val="20"/>
                <w:lang w:val="en-GB"/>
              </w:rPr>
            </w:pPr>
            <w:r w:rsidRPr="00B85A28">
              <w:rPr>
                <w:b/>
                <w:sz w:val="20"/>
                <w:szCs w:val="20"/>
                <w:lang w:val="en-GB"/>
              </w:rPr>
              <w:t xml:space="preserve">Website </w:t>
            </w:r>
          </w:p>
        </w:tc>
        <w:tc>
          <w:tcPr>
            <w:tcW w:w="6237" w:type="dxa"/>
            <w:shd w:val="clear" w:color="auto" w:fill="auto"/>
          </w:tcPr>
          <w:p w14:paraId="3372968B" w14:textId="77777777" w:rsidR="00194487" w:rsidRPr="00B85A28" w:rsidRDefault="00000000" w:rsidP="00637B0B">
            <w:pPr>
              <w:rPr>
                <w:bCs/>
                <w:sz w:val="20"/>
                <w:szCs w:val="20"/>
                <w:lang w:val="en-GB"/>
              </w:rPr>
            </w:pPr>
            <w:hyperlink r:id="rId5" w:history="1">
              <w:r w:rsidR="00194487" w:rsidRPr="00B85A28">
                <w:rPr>
                  <w:rStyle w:val="Hyperlink"/>
                  <w:bCs/>
                  <w:sz w:val="20"/>
                  <w:szCs w:val="20"/>
                  <w:lang w:val="en-GB"/>
                </w:rPr>
                <w:t>www.tatunf.uz</w:t>
              </w:r>
            </w:hyperlink>
          </w:p>
        </w:tc>
      </w:tr>
    </w:tbl>
    <w:p w14:paraId="5A9576CE" w14:textId="77777777" w:rsidR="00194487" w:rsidRPr="00B85A28" w:rsidRDefault="00194487" w:rsidP="00194487">
      <w:pPr>
        <w:rPr>
          <w:b/>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64A2"/>
        <w:tblLook w:val="04A0" w:firstRow="1" w:lastRow="0" w:firstColumn="1" w:lastColumn="0" w:noHBand="0" w:noVBand="1"/>
      </w:tblPr>
      <w:tblGrid>
        <w:gridCol w:w="9493"/>
      </w:tblGrid>
      <w:tr w:rsidR="00194487" w:rsidRPr="00B85A28" w14:paraId="7B797DDE" w14:textId="77777777" w:rsidTr="000411EA">
        <w:tc>
          <w:tcPr>
            <w:tcW w:w="9493" w:type="dxa"/>
            <w:shd w:val="clear" w:color="auto" w:fill="8064A2"/>
          </w:tcPr>
          <w:p w14:paraId="32FBA86F" w14:textId="77777777" w:rsidR="00194487" w:rsidRPr="00B85A28" w:rsidRDefault="00194487" w:rsidP="00637B0B">
            <w:pPr>
              <w:rPr>
                <w:b/>
                <w:sz w:val="20"/>
                <w:szCs w:val="20"/>
                <w:lang w:val="en-GB"/>
              </w:rPr>
            </w:pPr>
            <w:r w:rsidRPr="00B85A28">
              <w:rPr>
                <w:b/>
                <w:color w:val="FFFFFF" w:themeColor="background1"/>
                <w:sz w:val="20"/>
                <w:szCs w:val="20"/>
                <w:lang w:val="en-GB"/>
              </w:rPr>
              <w:t>Erasmus +</w:t>
            </w:r>
            <w:r w:rsidRPr="00B85A28">
              <w:rPr>
                <w:b/>
                <w:sz w:val="20"/>
                <w:szCs w:val="20"/>
                <w:lang w:val="en-GB"/>
              </w:rPr>
              <w:t xml:space="preserve"> </w:t>
            </w:r>
          </w:p>
        </w:tc>
      </w:tr>
    </w:tbl>
    <w:p w14:paraId="7EDE9BCA" w14:textId="77777777" w:rsidR="00194487" w:rsidRPr="00B85A28" w:rsidRDefault="00194487" w:rsidP="00194487">
      <w:pPr>
        <w:rPr>
          <w:b/>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5529"/>
      </w:tblGrid>
      <w:tr w:rsidR="00194487" w:rsidRPr="00B85A28" w14:paraId="0CBF23A6" w14:textId="77777777" w:rsidTr="00194487">
        <w:tc>
          <w:tcPr>
            <w:tcW w:w="3964" w:type="dxa"/>
            <w:shd w:val="clear" w:color="auto" w:fill="auto"/>
          </w:tcPr>
          <w:p w14:paraId="3D0B952F" w14:textId="77777777" w:rsidR="00194487" w:rsidRPr="00B85A28" w:rsidRDefault="00194487" w:rsidP="00637B0B">
            <w:pPr>
              <w:rPr>
                <w:b/>
                <w:sz w:val="20"/>
                <w:szCs w:val="20"/>
                <w:lang w:val="en-GB"/>
              </w:rPr>
            </w:pPr>
            <w:r w:rsidRPr="00B85A28">
              <w:rPr>
                <w:b/>
                <w:sz w:val="20"/>
                <w:szCs w:val="20"/>
                <w:lang w:val="en-GB"/>
              </w:rPr>
              <w:t>PIC number</w:t>
            </w:r>
          </w:p>
        </w:tc>
        <w:tc>
          <w:tcPr>
            <w:tcW w:w="5529" w:type="dxa"/>
            <w:shd w:val="clear" w:color="auto" w:fill="auto"/>
          </w:tcPr>
          <w:p w14:paraId="00670F35" w14:textId="77777777" w:rsidR="00194487" w:rsidRPr="00AA72BC" w:rsidRDefault="00194487" w:rsidP="00637B0B">
            <w:pPr>
              <w:rPr>
                <w:rFonts w:asciiTheme="minorHAnsi" w:hAnsiTheme="minorHAnsi" w:cstheme="minorHAnsi"/>
                <w:sz w:val="20"/>
                <w:szCs w:val="20"/>
                <w:lang w:val="en-GB"/>
              </w:rPr>
            </w:pPr>
            <w:r w:rsidRPr="00AA72BC">
              <w:rPr>
                <w:sz w:val="20"/>
                <w:szCs w:val="20"/>
                <w:lang w:val="en-GB"/>
              </w:rPr>
              <w:t>909146663</w:t>
            </w:r>
          </w:p>
        </w:tc>
      </w:tr>
      <w:tr w:rsidR="00194487" w:rsidRPr="00B85A28" w14:paraId="422125B0" w14:textId="77777777" w:rsidTr="00194487">
        <w:tc>
          <w:tcPr>
            <w:tcW w:w="3964" w:type="dxa"/>
            <w:shd w:val="clear" w:color="auto" w:fill="auto"/>
          </w:tcPr>
          <w:p w14:paraId="1BC73E0C" w14:textId="77777777" w:rsidR="00194487" w:rsidRPr="00B85A28" w:rsidRDefault="00194487" w:rsidP="00637B0B">
            <w:pPr>
              <w:jc w:val="both"/>
              <w:rPr>
                <w:b/>
                <w:sz w:val="20"/>
                <w:szCs w:val="20"/>
                <w:lang w:val="en-GB"/>
              </w:rPr>
            </w:pPr>
            <w:r w:rsidRPr="00B85A28">
              <w:rPr>
                <w:rFonts w:cs="Calibri"/>
                <w:b/>
                <w:sz w:val="20"/>
                <w:szCs w:val="20"/>
              </w:rPr>
              <w:t>OID number</w:t>
            </w:r>
          </w:p>
        </w:tc>
        <w:tc>
          <w:tcPr>
            <w:tcW w:w="5529" w:type="dxa"/>
            <w:shd w:val="clear" w:color="auto" w:fill="auto"/>
          </w:tcPr>
          <w:p w14:paraId="45A410B1" w14:textId="77777777" w:rsidR="00194487" w:rsidRPr="00B85A28" w:rsidRDefault="00194487" w:rsidP="00637B0B">
            <w:pPr>
              <w:rPr>
                <w:sz w:val="20"/>
                <w:szCs w:val="20"/>
                <w:lang w:val="en-GB"/>
              </w:rPr>
            </w:pPr>
            <w:r w:rsidRPr="00B85A28">
              <w:rPr>
                <w:sz w:val="20"/>
                <w:szCs w:val="20"/>
              </w:rPr>
              <w:t>E10298344</w:t>
            </w:r>
          </w:p>
        </w:tc>
      </w:tr>
      <w:tr w:rsidR="00194487" w:rsidRPr="00B85A28" w14:paraId="0FFF9404" w14:textId="77777777" w:rsidTr="00194487">
        <w:tc>
          <w:tcPr>
            <w:tcW w:w="3964" w:type="dxa"/>
            <w:shd w:val="clear" w:color="auto" w:fill="auto"/>
          </w:tcPr>
          <w:p w14:paraId="0CAFA8C2" w14:textId="77777777" w:rsidR="00194487" w:rsidRPr="00B85A28" w:rsidRDefault="00194487" w:rsidP="00637B0B">
            <w:pPr>
              <w:rPr>
                <w:b/>
                <w:sz w:val="20"/>
                <w:szCs w:val="20"/>
                <w:lang w:val="en-GB"/>
              </w:rPr>
            </w:pPr>
            <w:r w:rsidRPr="00B85A28">
              <w:rPr>
                <w:rFonts w:cs="Calibri"/>
                <w:b/>
                <w:sz w:val="20"/>
                <w:szCs w:val="20"/>
              </w:rPr>
              <w:t>Erasmus + Institutional Coordinator</w:t>
            </w:r>
            <w:r w:rsidRPr="00B85A28">
              <w:rPr>
                <w:rFonts w:cs="Calibri"/>
                <w:b/>
                <w:sz w:val="20"/>
                <w:szCs w:val="20"/>
              </w:rPr>
              <w:br/>
            </w:r>
            <w:r w:rsidRPr="00B85A28">
              <w:rPr>
                <w:b/>
                <w:sz w:val="20"/>
                <w:szCs w:val="20"/>
                <w:lang w:val="en-GB"/>
              </w:rPr>
              <w:t xml:space="preserve"> (name, position)</w:t>
            </w:r>
          </w:p>
        </w:tc>
        <w:tc>
          <w:tcPr>
            <w:tcW w:w="5529" w:type="dxa"/>
            <w:shd w:val="clear" w:color="auto" w:fill="auto"/>
          </w:tcPr>
          <w:p w14:paraId="49E9C975" w14:textId="77777777" w:rsidR="00194487" w:rsidRPr="00B85A28" w:rsidRDefault="00194487" w:rsidP="00637B0B">
            <w:pPr>
              <w:rPr>
                <w:sz w:val="20"/>
                <w:szCs w:val="20"/>
                <w:lang w:val="en-GB"/>
              </w:rPr>
            </w:pPr>
            <w:r w:rsidRPr="00B85A28">
              <w:rPr>
                <w:sz w:val="20"/>
                <w:szCs w:val="20"/>
                <w:lang w:val="en-GB"/>
              </w:rPr>
              <w:t>Head of IT Department, Institutional Erasmus+ Coordinator</w:t>
            </w:r>
          </w:p>
          <w:p w14:paraId="28E26313" w14:textId="77777777" w:rsidR="00194487" w:rsidRPr="00B85A28" w:rsidRDefault="00194487" w:rsidP="00637B0B">
            <w:pPr>
              <w:rPr>
                <w:sz w:val="20"/>
                <w:szCs w:val="20"/>
                <w:lang w:val="en-GB"/>
              </w:rPr>
            </w:pPr>
            <w:r w:rsidRPr="00B85A28">
              <w:rPr>
                <w:sz w:val="20"/>
                <w:szCs w:val="20"/>
                <w:lang w:val="en-GB"/>
              </w:rPr>
              <w:t>Dr. Asiya Tureniyazova</w:t>
            </w:r>
          </w:p>
        </w:tc>
      </w:tr>
      <w:tr w:rsidR="00194487" w:rsidRPr="00B85A28" w14:paraId="71E55BCE" w14:textId="77777777" w:rsidTr="00194487">
        <w:tc>
          <w:tcPr>
            <w:tcW w:w="3964" w:type="dxa"/>
            <w:shd w:val="clear" w:color="auto" w:fill="auto"/>
          </w:tcPr>
          <w:p w14:paraId="5ADE1533" w14:textId="77777777" w:rsidR="00194487" w:rsidRPr="00B85A28" w:rsidRDefault="00194487" w:rsidP="00637B0B">
            <w:pPr>
              <w:rPr>
                <w:b/>
                <w:sz w:val="20"/>
                <w:szCs w:val="20"/>
                <w:lang w:val="en-GB"/>
              </w:rPr>
            </w:pPr>
            <w:r w:rsidRPr="00B85A28">
              <w:rPr>
                <w:b/>
                <w:sz w:val="20"/>
                <w:szCs w:val="20"/>
                <w:lang w:val="en-GB"/>
              </w:rPr>
              <w:t>Email/</w:t>
            </w:r>
            <w:r w:rsidRPr="00B85A28">
              <w:rPr>
                <w:rFonts w:cs="Calibri"/>
                <w:b/>
                <w:sz w:val="20"/>
                <w:szCs w:val="20"/>
              </w:rPr>
              <w:t xml:space="preserve"> Telephone</w:t>
            </w:r>
          </w:p>
        </w:tc>
        <w:tc>
          <w:tcPr>
            <w:tcW w:w="5529" w:type="dxa"/>
            <w:shd w:val="clear" w:color="auto" w:fill="auto"/>
          </w:tcPr>
          <w:p w14:paraId="14E024C4" w14:textId="77777777" w:rsidR="00194487" w:rsidRPr="00B85A28" w:rsidRDefault="00000000" w:rsidP="00637B0B">
            <w:pPr>
              <w:rPr>
                <w:sz w:val="20"/>
                <w:szCs w:val="20"/>
                <w:u w:val="single"/>
                <w:lang w:val="es-ES"/>
              </w:rPr>
            </w:pPr>
            <w:hyperlink r:id="rId6" w:history="1">
              <w:r w:rsidR="00194487" w:rsidRPr="00B85A28">
                <w:rPr>
                  <w:rStyle w:val="Hyperlink"/>
                  <w:sz w:val="20"/>
                  <w:szCs w:val="20"/>
                  <w:lang w:val="es-ES"/>
                </w:rPr>
                <w:t>asiya.tureniyazova@gmail.com</w:t>
              </w:r>
            </w:hyperlink>
            <w:r w:rsidR="00194487" w:rsidRPr="00B85A28">
              <w:rPr>
                <w:sz w:val="20"/>
                <w:szCs w:val="20"/>
                <w:lang w:val="es-ES"/>
              </w:rPr>
              <w:t xml:space="preserve"> </w:t>
            </w:r>
          </w:p>
          <w:p w14:paraId="75EF2181" w14:textId="77777777" w:rsidR="00194487" w:rsidRPr="00B85A28" w:rsidRDefault="00194487" w:rsidP="00637B0B">
            <w:pPr>
              <w:rPr>
                <w:sz w:val="20"/>
                <w:szCs w:val="20"/>
                <w:lang w:val="es-ES"/>
              </w:rPr>
            </w:pPr>
            <w:r w:rsidRPr="00B85A28">
              <w:rPr>
                <w:sz w:val="20"/>
                <w:szCs w:val="20"/>
                <w:lang w:val="es-ES"/>
              </w:rPr>
              <w:t>(+998) 90 6545445</w:t>
            </w:r>
          </w:p>
        </w:tc>
      </w:tr>
      <w:tr w:rsidR="00194487" w:rsidRPr="00B85A28" w14:paraId="1903FADE" w14:textId="77777777" w:rsidTr="00194487">
        <w:tc>
          <w:tcPr>
            <w:tcW w:w="3964" w:type="dxa"/>
            <w:shd w:val="clear" w:color="auto" w:fill="auto"/>
          </w:tcPr>
          <w:p w14:paraId="06FFD71D" w14:textId="77777777" w:rsidR="00194487" w:rsidRPr="00B85A28" w:rsidRDefault="00194487" w:rsidP="00637B0B">
            <w:pPr>
              <w:rPr>
                <w:b/>
                <w:sz w:val="20"/>
                <w:szCs w:val="20"/>
                <w:lang w:val="en-GB"/>
              </w:rPr>
            </w:pPr>
            <w:r w:rsidRPr="00B85A28">
              <w:rPr>
                <w:b/>
                <w:sz w:val="20"/>
                <w:szCs w:val="20"/>
                <w:lang w:val="en-GB"/>
              </w:rPr>
              <w:t xml:space="preserve">Contact person for Erasmus+ mobilities </w:t>
            </w:r>
          </w:p>
          <w:p w14:paraId="1FEC2EF5" w14:textId="77777777" w:rsidR="00194487" w:rsidRPr="00B85A28" w:rsidRDefault="00194487" w:rsidP="00194487">
            <w:pPr>
              <w:pStyle w:val="ListParagraph"/>
              <w:numPr>
                <w:ilvl w:val="0"/>
                <w:numId w:val="1"/>
              </w:numPr>
              <w:rPr>
                <w:b/>
                <w:sz w:val="20"/>
                <w:szCs w:val="20"/>
                <w:lang w:val="en-GB"/>
              </w:rPr>
            </w:pPr>
            <w:r w:rsidRPr="00B85A28">
              <w:rPr>
                <w:b/>
                <w:sz w:val="20"/>
                <w:szCs w:val="20"/>
                <w:lang w:val="en-GB"/>
              </w:rPr>
              <w:t>staff (outgoing/incoming)</w:t>
            </w:r>
          </w:p>
          <w:p w14:paraId="42D2220E" w14:textId="77777777" w:rsidR="00194487" w:rsidRPr="00B85A28" w:rsidRDefault="00194487" w:rsidP="00194487">
            <w:pPr>
              <w:pStyle w:val="ListParagraph"/>
              <w:numPr>
                <w:ilvl w:val="0"/>
                <w:numId w:val="1"/>
              </w:numPr>
              <w:rPr>
                <w:b/>
                <w:sz w:val="20"/>
                <w:szCs w:val="20"/>
                <w:lang w:val="en-GB"/>
              </w:rPr>
            </w:pPr>
            <w:r w:rsidRPr="00B85A28">
              <w:rPr>
                <w:b/>
                <w:sz w:val="20"/>
                <w:szCs w:val="20"/>
                <w:lang w:val="en-GB"/>
              </w:rPr>
              <w:t>students (outgoing/incoming)</w:t>
            </w:r>
          </w:p>
        </w:tc>
        <w:tc>
          <w:tcPr>
            <w:tcW w:w="5529" w:type="dxa"/>
            <w:shd w:val="clear" w:color="auto" w:fill="auto"/>
          </w:tcPr>
          <w:p w14:paraId="12713DA5" w14:textId="77777777" w:rsidR="00194487" w:rsidRPr="00B85A28" w:rsidRDefault="00194487" w:rsidP="00637B0B">
            <w:pPr>
              <w:rPr>
                <w:sz w:val="20"/>
                <w:szCs w:val="20"/>
                <w:lang w:val="es-ES"/>
              </w:rPr>
            </w:pPr>
            <w:r w:rsidRPr="00B85A28">
              <w:rPr>
                <w:sz w:val="20"/>
                <w:szCs w:val="20"/>
                <w:lang w:val="en-GB"/>
              </w:rPr>
              <w:t>Dr. Asiya Tureniyazova</w:t>
            </w:r>
          </w:p>
          <w:p w14:paraId="1D568C28" w14:textId="77777777" w:rsidR="00194487" w:rsidRPr="00B85A28" w:rsidRDefault="00194487" w:rsidP="00637B0B">
            <w:pPr>
              <w:rPr>
                <w:sz w:val="20"/>
                <w:szCs w:val="20"/>
                <w:u w:val="single"/>
                <w:lang w:val="es-ES"/>
              </w:rPr>
            </w:pPr>
            <w:r w:rsidRPr="00B85A28">
              <w:rPr>
                <w:sz w:val="20"/>
                <w:szCs w:val="20"/>
                <w:lang w:val="es-ES"/>
              </w:rPr>
              <w:t>asiya.tureniyazova@gmail.com</w:t>
            </w:r>
          </w:p>
          <w:p w14:paraId="1C4B8A43" w14:textId="77777777" w:rsidR="00194487" w:rsidRPr="00B85A28" w:rsidRDefault="00194487" w:rsidP="00637B0B">
            <w:pPr>
              <w:rPr>
                <w:rFonts w:cs="Calibri"/>
                <w:sz w:val="20"/>
                <w:szCs w:val="20"/>
                <w:lang w:val="es-ES"/>
              </w:rPr>
            </w:pPr>
          </w:p>
        </w:tc>
      </w:tr>
    </w:tbl>
    <w:p w14:paraId="340C4D57" w14:textId="77777777" w:rsidR="00194487" w:rsidRPr="00B85A28" w:rsidRDefault="00194487" w:rsidP="00194487">
      <w:pPr>
        <w:jc w:val="both"/>
        <w:rPr>
          <w:rFonts w:cs="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194487" w:rsidRPr="00B85A28" w14:paraId="31F504DC" w14:textId="77777777" w:rsidTr="00194487">
        <w:tc>
          <w:tcPr>
            <w:tcW w:w="9493" w:type="dxa"/>
            <w:shd w:val="clear" w:color="auto" w:fill="8064A2"/>
          </w:tcPr>
          <w:p w14:paraId="56FFE4AF" w14:textId="77777777" w:rsidR="00194487" w:rsidRPr="00B85A28" w:rsidRDefault="00194487" w:rsidP="00637B0B">
            <w:pPr>
              <w:rPr>
                <w:b/>
                <w:sz w:val="20"/>
                <w:szCs w:val="20"/>
                <w:lang w:val="en-GB"/>
              </w:rPr>
            </w:pPr>
            <w:r w:rsidRPr="00B85A28">
              <w:rPr>
                <w:b/>
                <w:color w:val="FFFFFF" w:themeColor="background1"/>
                <w:sz w:val="20"/>
                <w:szCs w:val="20"/>
                <w:lang w:val="en-GB"/>
              </w:rPr>
              <w:t xml:space="preserve">Academic Calendar </w:t>
            </w:r>
          </w:p>
        </w:tc>
      </w:tr>
    </w:tbl>
    <w:p w14:paraId="1FC84C5B" w14:textId="77777777" w:rsidR="00194487" w:rsidRPr="00B85A28" w:rsidRDefault="00194487" w:rsidP="00194487">
      <w:pPr>
        <w:rPr>
          <w:b/>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5"/>
        <w:gridCol w:w="2976"/>
        <w:gridCol w:w="3542"/>
      </w:tblGrid>
      <w:tr w:rsidR="00194487" w:rsidRPr="00B85A28" w14:paraId="5010C05E" w14:textId="77777777" w:rsidTr="00194487">
        <w:tc>
          <w:tcPr>
            <w:tcW w:w="2975" w:type="dxa"/>
            <w:shd w:val="clear" w:color="auto" w:fill="auto"/>
          </w:tcPr>
          <w:p w14:paraId="62261021" w14:textId="77777777" w:rsidR="00194487" w:rsidRPr="00B85A28" w:rsidRDefault="00194487" w:rsidP="00637B0B">
            <w:pPr>
              <w:rPr>
                <w:b/>
                <w:sz w:val="20"/>
                <w:szCs w:val="20"/>
                <w:lang w:val="en-GB"/>
              </w:rPr>
            </w:pPr>
            <w:r w:rsidRPr="00B85A28">
              <w:rPr>
                <w:b/>
                <w:sz w:val="20"/>
                <w:szCs w:val="20"/>
                <w:lang w:val="en-GB"/>
              </w:rPr>
              <w:t xml:space="preserve">1 semester (Winter Term) </w:t>
            </w:r>
          </w:p>
        </w:tc>
        <w:tc>
          <w:tcPr>
            <w:tcW w:w="2976" w:type="dxa"/>
            <w:shd w:val="clear" w:color="auto" w:fill="auto"/>
          </w:tcPr>
          <w:p w14:paraId="6945B05B" w14:textId="77777777" w:rsidR="00194487" w:rsidRPr="00B85A28" w:rsidRDefault="00194487" w:rsidP="00637B0B">
            <w:pPr>
              <w:rPr>
                <w:sz w:val="20"/>
                <w:szCs w:val="20"/>
                <w:lang w:val="en-GB"/>
              </w:rPr>
            </w:pPr>
            <w:r w:rsidRPr="00B85A28">
              <w:rPr>
                <w:sz w:val="20"/>
                <w:szCs w:val="20"/>
                <w:lang w:val="en-GB"/>
              </w:rPr>
              <w:t>Start date: September 2 nd</w:t>
            </w:r>
          </w:p>
        </w:tc>
        <w:tc>
          <w:tcPr>
            <w:tcW w:w="3542" w:type="dxa"/>
            <w:shd w:val="clear" w:color="auto" w:fill="auto"/>
          </w:tcPr>
          <w:p w14:paraId="318B8241" w14:textId="77777777" w:rsidR="00194487" w:rsidRPr="00B85A28" w:rsidRDefault="00194487" w:rsidP="00637B0B">
            <w:pPr>
              <w:rPr>
                <w:sz w:val="20"/>
                <w:szCs w:val="20"/>
                <w:lang w:val="en-GB"/>
              </w:rPr>
            </w:pPr>
            <w:r w:rsidRPr="00B85A28">
              <w:rPr>
                <w:sz w:val="20"/>
                <w:szCs w:val="20"/>
                <w:lang w:val="en-GB"/>
              </w:rPr>
              <w:t>End date: January 15th</w:t>
            </w:r>
          </w:p>
        </w:tc>
      </w:tr>
      <w:tr w:rsidR="00194487" w:rsidRPr="00B85A28" w14:paraId="23952A46" w14:textId="77777777" w:rsidTr="00194487">
        <w:tc>
          <w:tcPr>
            <w:tcW w:w="2975" w:type="dxa"/>
            <w:shd w:val="clear" w:color="auto" w:fill="auto"/>
          </w:tcPr>
          <w:p w14:paraId="2DB0BE4D" w14:textId="77777777" w:rsidR="00194487" w:rsidRPr="00B85A28" w:rsidRDefault="00194487" w:rsidP="00637B0B">
            <w:pPr>
              <w:rPr>
                <w:b/>
                <w:sz w:val="20"/>
                <w:szCs w:val="20"/>
                <w:lang w:val="en-GB"/>
              </w:rPr>
            </w:pPr>
            <w:r w:rsidRPr="00B85A28">
              <w:rPr>
                <w:b/>
                <w:sz w:val="20"/>
                <w:szCs w:val="20"/>
                <w:lang w:val="en-GB"/>
              </w:rPr>
              <w:t>2 semester (Spring Term)</w:t>
            </w:r>
          </w:p>
        </w:tc>
        <w:tc>
          <w:tcPr>
            <w:tcW w:w="2976" w:type="dxa"/>
            <w:shd w:val="clear" w:color="auto" w:fill="auto"/>
          </w:tcPr>
          <w:p w14:paraId="708155E1" w14:textId="77777777" w:rsidR="00194487" w:rsidRPr="00B85A28" w:rsidRDefault="00194487" w:rsidP="00637B0B">
            <w:pPr>
              <w:rPr>
                <w:sz w:val="20"/>
                <w:szCs w:val="20"/>
                <w:lang w:val="en-GB"/>
              </w:rPr>
            </w:pPr>
            <w:r w:rsidRPr="00B85A28">
              <w:rPr>
                <w:sz w:val="20"/>
                <w:szCs w:val="20"/>
                <w:lang w:val="en-GB"/>
              </w:rPr>
              <w:t>Start date: February 16 th</w:t>
            </w:r>
          </w:p>
        </w:tc>
        <w:tc>
          <w:tcPr>
            <w:tcW w:w="3542" w:type="dxa"/>
            <w:shd w:val="clear" w:color="auto" w:fill="auto"/>
          </w:tcPr>
          <w:p w14:paraId="2CC884A3" w14:textId="77777777" w:rsidR="00194487" w:rsidRPr="00B85A28" w:rsidRDefault="00194487" w:rsidP="00637B0B">
            <w:pPr>
              <w:rPr>
                <w:sz w:val="20"/>
                <w:szCs w:val="20"/>
                <w:lang w:val="en-GB"/>
              </w:rPr>
            </w:pPr>
            <w:r w:rsidRPr="00B85A28">
              <w:rPr>
                <w:sz w:val="20"/>
                <w:szCs w:val="20"/>
                <w:lang w:val="en-GB"/>
              </w:rPr>
              <w:t>End date: June 15th</w:t>
            </w:r>
          </w:p>
        </w:tc>
      </w:tr>
    </w:tbl>
    <w:p w14:paraId="69B008C7" w14:textId="77777777" w:rsidR="00194487" w:rsidRPr="00B85A28" w:rsidRDefault="00194487" w:rsidP="00194487">
      <w:pPr>
        <w:rPr>
          <w:b/>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194487" w:rsidRPr="00B85A28" w14:paraId="3AD39005" w14:textId="77777777" w:rsidTr="00194487">
        <w:tc>
          <w:tcPr>
            <w:tcW w:w="9493" w:type="dxa"/>
            <w:shd w:val="clear" w:color="auto" w:fill="8064A2"/>
          </w:tcPr>
          <w:p w14:paraId="214DA584" w14:textId="443A844F" w:rsidR="00194487" w:rsidRPr="00B85A28" w:rsidRDefault="00194487" w:rsidP="00637B0B">
            <w:pPr>
              <w:rPr>
                <w:b/>
                <w:sz w:val="20"/>
                <w:szCs w:val="20"/>
                <w:lang w:val="en-GB"/>
              </w:rPr>
            </w:pPr>
            <w:r w:rsidRPr="00B85A28">
              <w:rPr>
                <w:b/>
                <w:color w:val="FFFFFF" w:themeColor="background1"/>
                <w:sz w:val="20"/>
                <w:szCs w:val="20"/>
                <w:lang w:val="en-GB"/>
              </w:rPr>
              <w:t>TUIT NB</w:t>
            </w:r>
            <w:r w:rsidRPr="00B85A28">
              <w:rPr>
                <w:b/>
                <w:sz w:val="20"/>
                <w:szCs w:val="20"/>
                <w:lang w:val="en-GB"/>
              </w:rPr>
              <w:t xml:space="preserve"> </w:t>
            </w:r>
          </w:p>
        </w:tc>
      </w:tr>
    </w:tbl>
    <w:p w14:paraId="06D3DEE8" w14:textId="77777777" w:rsidR="00194487" w:rsidRPr="00B85A28" w:rsidRDefault="00194487" w:rsidP="00194487">
      <w:pPr>
        <w:rPr>
          <w:vanish/>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582"/>
        <w:gridCol w:w="6911"/>
      </w:tblGrid>
      <w:tr w:rsidR="00194487" w:rsidRPr="00B85A28" w14:paraId="3D841639" w14:textId="77777777" w:rsidTr="00B85A28">
        <w:trPr>
          <w:trHeight w:val="428"/>
        </w:trPr>
        <w:tc>
          <w:tcPr>
            <w:tcW w:w="9493" w:type="dxa"/>
            <w:gridSpan w:val="2"/>
            <w:shd w:val="clear" w:color="auto" w:fill="auto"/>
          </w:tcPr>
          <w:p w14:paraId="091B2794" w14:textId="77777777" w:rsidR="00194487" w:rsidRPr="00B85A28" w:rsidRDefault="00194487" w:rsidP="00637B0B">
            <w:pPr>
              <w:jc w:val="both"/>
              <w:rPr>
                <w:color w:val="000000"/>
                <w:sz w:val="20"/>
                <w:szCs w:val="20"/>
              </w:rPr>
            </w:pPr>
            <w:r w:rsidRPr="00B85A28">
              <w:rPr>
                <w:sz w:val="20"/>
                <w:szCs w:val="20"/>
              </w:rPr>
              <w:t>Nukus Branch of Tashkent University of Information Technologies named after Muhammad al-Khwarizmi (TUIT NB) is located in the capital of Karakalpakstan, the sovereign republic in Uzbekistan. Organized in 2005, June 17 by Decree of the President of Uzbekistan, this HEI is aimed to prepare specialists in computer and software engineering, Information security, IT service, Digital economy, Telecommunication systems as well as VET teachers in ICT. </w:t>
            </w:r>
          </w:p>
          <w:p w14:paraId="71C9FC34" w14:textId="77777777" w:rsidR="00194487" w:rsidRPr="00B85A28" w:rsidRDefault="00194487" w:rsidP="00637B0B">
            <w:pPr>
              <w:jc w:val="both"/>
              <w:rPr>
                <w:color w:val="000000"/>
                <w:sz w:val="20"/>
                <w:szCs w:val="20"/>
              </w:rPr>
            </w:pPr>
            <w:r w:rsidRPr="00B85A28">
              <w:rPr>
                <w:color w:val="000000"/>
                <w:sz w:val="20"/>
                <w:szCs w:val="20"/>
              </w:rPr>
              <w:t>There are 2 faculties with 9 departments in the structure of the University. Nowadays 9 bachelor’s directions of education and 5 master’s speciality</w:t>
            </w:r>
            <w:r w:rsidRPr="00B85A28">
              <w:rPr>
                <w:rFonts w:ascii="Roboto" w:hAnsi="Roboto"/>
                <w:color w:val="5D5D5D"/>
                <w:sz w:val="20"/>
                <w:szCs w:val="20"/>
                <w:shd w:val="clear" w:color="auto" w:fill="FFFFFF"/>
              </w:rPr>
              <w:t xml:space="preserve"> </w:t>
            </w:r>
            <w:r w:rsidRPr="00B85A28">
              <w:rPr>
                <w:color w:val="000000"/>
                <w:sz w:val="20"/>
                <w:szCs w:val="20"/>
              </w:rPr>
              <w:t>courses are offering diverse subjects to about 2500 students in total. In addition, 6 laboratories, Business incubator, Coworking centre, Information Resource Centre are being used by students. University students are winners of republican Olympiads, various competitions in the field of ICT, were awarded the different state and Presidential scholarships, prizes for development of the software products and show good results in sport and arts. Notably, students graduated from TUIT Nukus branch find it easy to get a job due to the good knowledge, experience they gained during their either bachelor’s or master’s.</w:t>
            </w:r>
          </w:p>
          <w:p w14:paraId="6CDD53DE" w14:textId="77777777" w:rsidR="00194487" w:rsidRPr="00B85A28" w:rsidRDefault="00194487" w:rsidP="00637B0B">
            <w:pPr>
              <w:jc w:val="both"/>
              <w:rPr>
                <w:color w:val="000000"/>
                <w:sz w:val="20"/>
                <w:szCs w:val="20"/>
              </w:rPr>
            </w:pPr>
            <w:r w:rsidRPr="00B85A28">
              <w:rPr>
                <w:color w:val="000000"/>
                <w:sz w:val="20"/>
                <w:szCs w:val="20"/>
              </w:rPr>
              <w:t xml:space="preserve">The university has 84 professor-teachers, including 5 DSc and 20 PhD professors, who got their degrees in the famous universities of the world and top republican HEI. </w:t>
            </w:r>
          </w:p>
          <w:p w14:paraId="01E76AF5" w14:textId="77777777" w:rsidR="00194487" w:rsidRPr="00B85A28" w:rsidRDefault="00194487" w:rsidP="00637B0B">
            <w:pPr>
              <w:jc w:val="both"/>
              <w:rPr>
                <w:color w:val="000000"/>
                <w:sz w:val="20"/>
                <w:szCs w:val="20"/>
              </w:rPr>
            </w:pPr>
            <w:r w:rsidRPr="00B85A28">
              <w:rPr>
                <w:color w:val="000000"/>
                <w:sz w:val="20"/>
                <w:szCs w:val="20"/>
              </w:rPr>
              <w:t>In its activity TUIT NB is guided by the Resolution #PQ-2009 of the President of the Republic of Uzbekistan "On measures to further develop the higher education system", which obliges each HEI “to establish close prospective cooperation relations with leading similar scientific and educational institutions abroad, widely introduce the innovative pedagogical technologies, modernize and develop new curricula, educational programs and teaching materials based on international educational standards into the educational process, invite highly qualified foreign lecturers and attract scientists, organise internships, retraining and improving the qualifications of teachers in HEI abroad”</w:t>
            </w:r>
          </w:p>
          <w:p w14:paraId="25FEDD7F" w14:textId="77777777" w:rsidR="00194487" w:rsidRPr="00B85A28" w:rsidRDefault="00194487" w:rsidP="00637B0B">
            <w:pPr>
              <w:jc w:val="both"/>
              <w:rPr>
                <w:rFonts w:cs="Calibri"/>
                <w:sz w:val="20"/>
                <w:szCs w:val="20"/>
              </w:rPr>
            </w:pPr>
            <w:r w:rsidRPr="00B85A28">
              <w:rPr>
                <w:color w:val="000000"/>
                <w:sz w:val="20"/>
                <w:szCs w:val="20"/>
              </w:rPr>
              <w:t>Partnership Agreements are signed with 16 foreign universities and 3 companies.</w:t>
            </w:r>
          </w:p>
        </w:tc>
      </w:tr>
      <w:tr w:rsidR="00B85A28" w:rsidRPr="00B85A28" w14:paraId="297C0767" w14:textId="77777777" w:rsidTr="00AA72BC">
        <w:trPr>
          <w:trHeight w:val="1495"/>
        </w:trPr>
        <w:tc>
          <w:tcPr>
            <w:tcW w:w="2582" w:type="dxa"/>
            <w:shd w:val="clear" w:color="auto" w:fill="auto"/>
          </w:tcPr>
          <w:p w14:paraId="2895CDA1" w14:textId="77777777" w:rsidR="00AA72BC" w:rsidRDefault="00AA72BC" w:rsidP="00637B0B">
            <w:pPr>
              <w:jc w:val="both"/>
              <w:rPr>
                <w:rFonts w:cs="Calibri"/>
                <w:b/>
                <w:sz w:val="20"/>
                <w:szCs w:val="20"/>
              </w:rPr>
            </w:pPr>
          </w:p>
          <w:p w14:paraId="338B2D36" w14:textId="38BF93CC" w:rsidR="00B85A28" w:rsidRPr="00B85A28" w:rsidRDefault="00B85A28" w:rsidP="00637B0B">
            <w:pPr>
              <w:jc w:val="both"/>
              <w:rPr>
                <w:sz w:val="20"/>
                <w:szCs w:val="20"/>
              </w:rPr>
            </w:pPr>
            <w:r w:rsidRPr="00B85A28">
              <w:rPr>
                <w:rFonts w:cs="Calibri"/>
                <w:b/>
                <w:sz w:val="20"/>
                <w:szCs w:val="20"/>
              </w:rPr>
              <w:t>University</w:t>
            </w:r>
            <w:r w:rsidRPr="00B85A28">
              <w:rPr>
                <w:sz w:val="20"/>
                <w:szCs w:val="20"/>
              </w:rPr>
              <w:t xml:space="preserve"> </w:t>
            </w:r>
            <w:r w:rsidRPr="00AA72BC">
              <w:rPr>
                <w:b/>
                <w:bCs/>
                <w:sz w:val="20"/>
                <w:szCs w:val="20"/>
              </w:rPr>
              <w:t>position on staff and / student mobilit</w:t>
            </w:r>
            <w:r w:rsidRPr="00B85A28">
              <w:rPr>
                <w:sz w:val="20"/>
                <w:szCs w:val="20"/>
              </w:rPr>
              <w:t>y</w:t>
            </w:r>
          </w:p>
          <w:p w14:paraId="7A9A186F" w14:textId="77777777" w:rsidR="00B85A28" w:rsidRPr="00B85A28" w:rsidRDefault="00B85A28" w:rsidP="00637B0B">
            <w:pPr>
              <w:jc w:val="both"/>
              <w:rPr>
                <w:rFonts w:cs="Calibri"/>
                <w:b/>
                <w:sz w:val="20"/>
                <w:szCs w:val="20"/>
              </w:rPr>
            </w:pPr>
          </w:p>
          <w:p w14:paraId="04A85C7B" w14:textId="77777777" w:rsidR="00B85A28" w:rsidRPr="00B85A28" w:rsidRDefault="00B85A28" w:rsidP="00637B0B">
            <w:pPr>
              <w:jc w:val="both"/>
              <w:rPr>
                <w:rFonts w:cs="Calibri"/>
                <w:sz w:val="20"/>
                <w:szCs w:val="20"/>
              </w:rPr>
            </w:pPr>
          </w:p>
        </w:tc>
        <w:tc>
          <w:tcPr>
            <w:tcW w:w="6911" w:type="dxa"/>
            <w:shd w:val="clear" w:color="auto" w:fill="auto"/>
          </w:tcPr>
          <w:p w14:paraId="5CFA366E" w14:textId="77777777" w:rsidR="00AA72BC" w:rsidRDefault="00AA72BC" w:rsidP="00B85A28">
            <w:pPr>
              <w:jc w:val="both"/>
              <w:rPr>
                <w:rFonts w:cs="Calibri"/>
                <w:sz w:val="20"/>
                <w:szCs w:val="20"/>
              </w:rPr>
            </w:pPr>
          </w:p>
          <w:p w14:paraId="29BBECE6" w14:textId="15FE6F22" w:rsidR="00B85A28" w:rsidRPr="00B85A28" w:rsidRDefault="00B85A28" w:rsidP="00B85A28">
            <w:pPr>
              <w:jc w:val="both"/>
              <w:rPr>
                <w:rFonts w:cs="Calibri"/>
                <w:sz w:val="20"/>
                <w:szCs w:val="20"/>
              </w:rPr>
            </w:pPr>
            <w:r w:rsidRPr="00B85A28">
              <w:rPr>
                <w:rFonts w:cs="Calibri"/>
                <w:sz w:val="20"/>
                <w:szCs w:val="20"/>
              </w:rPr>
              <w:t xml:space="preserve">All subjects of curricula of BSc and MSc in Computer engineering, Software Engineering, Information Security, Telecommunication Technologies, Digital Economy, Multimedia technologies can be learnt or taught during mobility of students and staff of both parties.  </w:t>
            </w:r>
          </w:p>
        </w:tc>
      </w:tr>
    </w:tbl>
    <w:p w14:paraId="337D3FE7" w14:textId="77777777" w:rsidR="007A311E" w:rsidRPr="00B85A28" w:rsidRDefault="007A311E">
      <w:pPr>
        <w:rPr>
          <w:sz w:val="20"/>
          <w:szCs w:val="20"/>
        </w:rPr>
      </w:pPr>
    </w:p>
    <w:sectPr w:rsidR="007A311E" w:rsidRPr="00B85A28" w:rsidSect="00194487">
      <w:pgSz w:w="11906" w:h="16838"/>
      <w:pgMar w:top="907" w:right="624" w:bottom="964"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Roboto">
    <w:altName w:val="Roboto"/>
    <w:charset w:val="00"/>
    <w:family w:val="auto"/>
    <w:pitch w:val="variable"/>
    <w:sig w:usb0="E00002FF" w:usb1="5000205B" w:usb2="0000002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B61125"/>
    <w:multiLevelType w:val="hybridMultilevel"/>
    <w:tmpl w:val="CBAE51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7464588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487"/>
    <w:rsid w:val="000237B8"/>
    <w:rsid w:val="000411EA"/>
    <w:rsid w:val="00194487"/>
    <w:rsid w:val="007841EE"/>
    <w:rsid w:val="007A311E"/>
    <w:rsid w:val="00A90566"/>
    <w:rsid w:val="00AA72BC"/>
    <w:rsid w:val="00B85A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3C9EF"/>
  <w15:chartTrackingRefBased/>
  <w15:docId w15:val="{34DD0AE0-A499-4E5A-8AB5-36627D214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487"/>
    <w:pPr>
      <w:spacing w:after="0" w:line="240"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4487"/>
    <w:pPr>
      <w:ind w:left="720"/>
    </w:pPr>
  </w:style>
  <w:style w:type="character" w:styleId="Hyperlink">
    <w:name w:val="Hyperlink"/>
    <w:uiPriority w:val="99"/>
    <w:unhideWhenUsed/>
    <w:rsid w:val="00194487"/>
    <w:rPr>
      <w:color w:val="0563C1"/>
      <w:u w:val="single"/>
    </w:rPr>
  </w:style>
  <w:style w:type="paragraph" w:customStyle="1" w:styleId="Default">
    <w:name w:val="Default"/>
    <w:rsid w:val="00194487"/>
    <w:pPr>
      <w:autoSpaceDE w:val="0"/>
      <w:autoSpaceDN w:val="0"/>
      <w:adjustRightInd w:val="0"/>
      <w:spacing w:after="0" w:line="240" w:lineRule="auto"/>
    </w:pPr>
    <w:rPr>
      <w:rFonts w:ascii="Calibri" w:eastAsia="Times New Roman" w:hAnsi="Calibri" w:cs="Calibri"/>
      <w:color w:val="000000"/>
      <w:sz w:val="24"/>
      <w:szCs w:val="24"/>
      <w:lang w:val="fr-FR"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siya.tureniyazova@gmail.com" TargetMode="External"/><Relationship Id="rId5" Type="http://schemas.openxmlformats.org/officeDocument/2006/relationships/hyperlink" Target="http://www.tatunf.u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2277</Words>
  <Characters>1299</Characters>
  <Application>Microsoft Office Word</Application>
  <DocSecurity>0</DocSecurity>
  <Lines>10</Lines>
  <Paragraphs>7</Paragraphs>
  <ScaleCrop>false</ScaleCrop>
  <Company/>
  <LinksUpToDate>false</LinksUpToDate>
  <CharactersWithSpaces>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Asiya Tureniyazova</dc:creator>
  <cp:keywords/>
  <dc:description/>
  <cp:lastModifiedBy>Baiba Zariņa</cp:lastModifiedBy>
  <cp:revision>2</cp:revision>
  <dcterms:created xsi:type="dcterms:W3CDTF">2023-01-24T09:03:00Z</dcterms:created>
  <dcterms:modified xsi:type="dcterms:W3CDTF">2023-01-24T09:03:00Z</dcterms:modified>
</cp:coreProperties>
</file>