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3" w:type="dxa"/>
        <w:tblInd w:w="-1139" w:type="dxa"/>
        <w:tblLook w:val="04A0" w:firstRow="1" w:lastRow="0" w:firstColumn="1" w:lastColumn="0" w:noHBand="0" w:noVBand="1"/>
      </w:tblPr>
      <w:tblGrid>
        <w:gridCol w:w="5287"/>
        <w:gridCol w:w="5486"/>
      </w:tblGrid>
      <w:tr w:rsidR="00D81241" w:rsidRPr="00D81241" w14:paraId="786F3F3B" w14:textId="77777777" w:rsidTr="003C6077">
        <w:tc>
          <w:tcPr>
            <w:tcW w:w="5287" w:type="dxa"/>
          </w:tcPr>
          <w:p w14:paraId="6E80B4F7" w14:textId="1BC9FAE7" w:rsidR="00D81241" w:rsidRPr="00D81241" w:rsidRDefault="00D81241" w:rsidP="005B5AD8">
            <w:pPr>
              <w:jc w:val="center"/>
              <w:rPr>
                <w:sz w:val="24"/>
                <w:szCs w:val="24"/>
              </w:rPr>
            </w:pPr>
            <w:r w:rsidRPr="00D81241">
              <w:rPr>
                <w:sz w:val="24"/>
                <w:szCs w:val="24"/>
              </w:rPr>
              <w:t>Jautājums</w:t>
            </w:r>
          </w:p>
        </w:tc>
        <w:tc>
          <w:tcPr>
            <w:tcW w:w="5486" w:type="dxa"/>
          </w:tcPr>
          <w:p w14:paraId="5AAB4B29" w14:textId="48C308A2" w:rsidR="00D81241" w:rsidRPr="00D81241" w:rsidRDefault="00D81241" w:rsidP="005B5AD8">
            <w:pPr>
              <w:jc w:val="center"/>
              <w:rPr>
                <w:sz w:val="24"/>
                <w:szCs w:val="24"/>
              </w:rPr>
            </w:pPr>
            <w:r w:rsidRPr="00D81241">
              <w:rPr>
                <w:sz w:val="24"/>
                <w:szCs w:val="24"/>
              </w:rPr>
              <w:t>Atbilde</w:t>
            </w:r>
          </w:p>
        </w:tc>
      </w:tr>
      <w:tr w:rsidR="00D81241" w:rsidRPr="00D81241" w14:paraId="0C845412" w14:textId="77777777" w:rsidTr="003C6077">
        <w:tc>
          <w:tcPr>
            <w:tcW w:w="5287" w:type="dxa"/>
          </w:tcPr>
          <w:p w14:paraId="5ED9A461" w14:textId="2F2A5E17" w:rsidR="00D81241" w:rsidRPr="00D81241" w:rsidRDefault="00D81241">
            <w:pPr>
              <w:rPr>
                <w:sz w:val="24"/>
                <w:szCs w:val="24"/>
              </w:rPr>
            </w:pPr>
            <w:r>
              <w:rPr>
                <w:sz w:val="24"/>
                <w:szCs w:val="24"/>
              </w:rPr>
              <w:t>Informācija par Žana Monē aktivitātēm</w:t>
            </w:r>
          </w:p>
        </w:tc>
        <w:tc>
          <w:tcPr>
            <w:tcW w:w="5486" w:type="dxa"/>
          </w:tcPr>
          <w:p w14:paraId="5E841772" w14:textId="34AFA2CB" w:rsidR="00D81241" w:rsidRPr="00D81241" w:rsidRDefault="003C6077">
            <w:pPr>
              <w:rPr>
                <w:sz w:val="24"/>
                <w:szCs w:val="24"/>
              </w:rPr>
            </w:pPr>
            <w:hyperlink r:id="rId4" w:history="1">
              <w:r w:rsidRPr="00D46E11">
                <w:rPr>
                  <w:rStyle w:val="Hyperlink"/>
                  <w:sz w:val="24"/>
                  <w:szCs w:val="24"/>
                </w:rPr>
                <w:t>https://erasmusplus.lv/zana-mone-aktivitates-skolu-un-profesionalas-iz</w:t>
              </w:r>
              <w:r w:rsidRPr="00D46E11">
                <w:rPr>
                  <w:rStyle w:val="Hyperlink"/>
                  <w:sz w:val="24"/>
                  <w:szCs w:val="24"/>
                </w:rPr>
                <w:t>g</w:t>
              </w:r>
              <w:r w:rsidRPr="00D46E11">
                <w:rPr>
                  <w:rStyle w:val="Hyperlink"/>
                  <w:sz w:val="24"/>
                  <w:szCs w:val="24"/>
                </w:rPr>
                <w:t>litibas-sektora</w:t>
              </w:r>
            </w:hyperlink>
            <w:r>
              <w:rPr>
                <w:sz w:val="24"/>
                <w:szCs w:val="24"/>
              </w:rPr>
              <w:t xml:space="preserve"> </w:t>
            </w:r>
          </w:p>
        </w:tc>
      </w:tr>
      <w:tr w:rsidR="00D81241" w:rsidRPr="00D81241" w14:paraId="2ABCD6DF" w14:textId="77777777" w:rsidTr="003C6077">
        <w:tc>
          <w:tcPr>
            <w:tcW w:w="5287" w:type="dxa"/>
          </w:tcPr>
          <w:p w14:paraId="77234A2D" w14:textId="11AF8FBB" w:rsidR="00D81241" w:rsidRPr="00D81241" w:rsidRDefault="00D81241">
            <w:pPr>
              <w:rPr>
                <w:sz w:val="24"/>
                <w:szCs w:val="24"/>
              </w:rPr>
            </w:pPr>
            <w:r w:rsidRPr="00D81241">
              <w:rPr>
                <w:sz w:val="24"/>
                <w:szCs w:val="24"/>
              </w:rPr>
              <w:t>Ja netika realizēts 2019</w:t>
            </w:r>
            <w:r w:rsidR="00E74EF2">
              <w:rPr>
                <w:sz w:val="24"/>
                <w:szCs w:val="24"/>
              </w:rPr>
              <w:t>.</w:t>
            </w:r>
            <w:r w:rsidRPr="00D81241">
              <w:rPr>
                <w:sz w:val="24"/>
                <w:szCs w:val="24"/>
              </w:rPr>
              <w:t>-2020</w:t>
            </w:r>
            <w:r w:rsidR="00E74EF2">
              <w:rPr>
                <w:sz w:val="24"/>
                <w:szCs w:val="24"/>
              </w:rPr>
              <w:t>.</w:t>
            </w:r>
            <w:r w:rsidRPr="00D81241">
              <w:rPr>
                <w:sz w:val="24"/>
                <w:szCs w:val="24"/>
              </w:rPr>
              <w:t xml:space="preserve"> gada projekts, bet tā mērķi joprojām ir ļoti aktuāli organizācijai, drīkst līdzīgu projektu sniegt atkārtoti?</w:t>
            </w:r>
          </w:p>
        </w:tc>
        <w:tc>
          <w:tcPr>
            <w:tcW w:w="5486" w:type="dxa"/>
          </w:tcPr>
          <w:p w14:paraId="1FE18BCC" w14:textId="6575AD01" w:rsidR="00D81241" w:rsidRPr="00D81241" w:rsidRDefault="00E74EF2">
            <w:pPr>
              <w:rPr>
                <w:sz w:val="24"/>
                <w:szCs w:val="24"/>
              </w:rPr>
            </w:pPr>
            <w:r>
              <w:rPr>
                <w:sz w:val="24"/>
                <w:szCs w:val="24"/>
              </w:rPr>
              <w:t xml:space="preserve">Katram pieteikumam jābūt oriģināli veidotam, taču savas organizācijas iepriekšējos pieteikumus var izmantot atsaucei, smelties idejas, </w:t>
            </w:r>
            <w:r w:rsidR="00B73F7A">
              <w:rPr>
                <w:sz w:val="24"/>
                <w:szCs w:val="24"/>
              </w:rPr>
              <w:t xml:space="preserve">izvērtēt aktuālos mērķus. Pieteikuma saturs nedrīkst būt tiešā veidā pārkopēts no jebkura cita projekta pieteikuma, taču iepriekš neapstiprināta projekta sadaļas, kas joprojām ir aktuālas, var iestrādāt jaunā pieteikumā. </w:t>
            </w:r>
          </w:p>
        </w:tc>
      </w:tr>
      <w:tr w:rsidR="000243B6" w:rsidRPr="00D81241" w14:paraId="5640A455" w14:textId="77777777" w:rsidTr="00D30916">
        <w:tc>
          <w:tcPr>
            <w:tcW w:w="5287" w:type="dxa"/>
          </w:tcPr>
          <w:p w14:paraId="42181E29" w14:textId="77777777" w:rsidR="000243B6" w:rsidRPr="005F2193" w:rsidRDefault="000243B6" w:rsidP="00D30916">
            <w:pPr>
              <w:rPr>
                <w:sz w:val="24"/>
                <w:szCs w:val="24"/>
              </w:rPr>
            </w:pPr>
            <w:r>
              <w:rPr>
                <w:sz w:val="24"/>
                <w:szCs w:val="24"/>
              </w:rPr>
              <w:t>V</w:t>
            </w:r>
            <w:r w:rsidRPr="006D40D0">
              <w:rPr>
                <w:sz w:val="24"/>
                <w:szCs w:val="24"/>
              </w:rPr>
              <w:t>ai Erasmus+ 2021.gada akreditācijas rezultāti būs zināmi kādu brītiņu pirms jauno projektu iesniegšanas termiņa?</w:t>
            </w:r>
          </w:p>
        </w:tc>
        <w:tc>
          <w:tcPr>
            <w:tcW w:w="5486" w:type="dxa"/>
          </w:tcPr>
          <w:p w14:paraId="3249DA18" w14:textId="7530F8B4" w:rsidR="000243B6" w:rsidRPr="005F2193" w:rsidRDefault="000243B6" w:rsidP="00D30916">
            <w:pPr>
              <w:rPr>
                <w:sz w:val="24"/>
                <w:szCs w:val="24"/>
              </w:rPr>
            </w:pPr>
            <w:r w:rsidRPr="006D40D0">
              <w:rPr>
                <w:sz w:val="24"/>
                <w:szCs w:val="24"/>
              </w:rPr>
              <w:t xml:space="preserve">Jā, plānojam </w:t>
            </w:r>
            <w:r>
              <w:rPr>
                <w:sz w:val="24"/>
                <w:szCs w:val="24"/>
              </w:rPr>
              <w:t xml:space="preserve">Erasmus </w:t>
            </w:r>
            <w:r w:rsidRPr="006D40D0">
              <w:rPr>
                <w:sz w:val="24"/>
                <w:szCs w:val="24"/>
              </w:rPr>
              <w:t>akreditācijas rezultātus paziņot februāra sākumā.</w:t>
            </w:r>
          </w:p>
        </w:tc>
      </w:tr>
      <w:tr w:rsidR="00E61BC5" w:rsidRPr="00D81241" w14:paraId="0F9963B0" w14:textId="77777777" w:rsidTr="003C6077">
        <w:tc>
          <w:tcPr>
            <w:tcW w:w="5287" w:type="dxa"/>
          </w:tcPr>
          <w:p w14:paraId="10C0E203" w14:textId="77777777" w:rsidR="00E61BC5" w:rsidRPr="009D7E91" w:rsidRDefault="00E61BC5" w:rsidP="002A7D8D">
            <w:pPr>
              <w:rPr>
                <w:sz w:val="24"/>
                <w:szCs w:val="24"/>
              </w:rPr>
            </w:pPr>
            <w:r w:rsidRPr="00E61BC5">
              <w:rPr>
                <w:sz w:val="24"/>
                <w:szCs w:val="24"/>
              </w:rPr>
              <w:t>Tātad šo var iesniegt arī tie kam nav erasmus akreditācija?</w:t>
            </w:r>
          </w:p>
        </w:tc>
        <w:tc>
          <w:tcPr>
            <w:tcW w:w="5486" w:type="dxa"/>
          </w:tcPr>
          <w:p w14:paraId="52AB4596" w14:textId="58F1CB4D" w:rsidR="00E61BC5" w:rsidRDefault="00E61BC5" w:rsidP="002A7D8D">
            <w:pPr>
              <w:rPr>
                <w:sz w:val="24"/>
                <w:szCs w:val="24"/>
              </w:rPr>
            </w:pPr>
            <w:r>
              <w:rPr>
                <w:sz w:val="24"/>
                <w:szCs w:val="24"/>
              </w:rPr>
              <w:t xml:space="preserve">KA122-SCH jeb īstermiņa projekta pieteikuma </w:t>
            </w:r>
            <w:r w:rsidRPr="00E61BC5">
              <w:rPr>
                <w:sz w:val="24"/>
                <w:szCs w:val="24"/>
              </w:rPr>
              <w:t>veidlapu var iesniegt jebkura dalībtiesīga organizācija</w:t>
            </w:r>
            <w:r w:rsidR="000243B6">
              <w:rPr>
                <w:sz w:val="24"/>
                <w:szCs w:val="24"/>
              </w:rPr>
              <w:t xml:space="preserve"> (</w:t>
            </w:r>
            <w:hyperlink r:id="rId5" w:history="1">
              <w:r w:rsidR="000243B6" w:rsidRPr="00D46E11">
                <w:rPr>
                  <w:rStyle w:val="Hyperlink"/>
                  <w:sz w:val="24"/>
                  <w:szCs w:val="24"/>
                </w:rPr>
                <w:t>https://erasmusplus.lv/skolu-mobilitates-projektu-veidi-un-sagatavosana?tab=collapse-306</w:t>
              </w:r>
            </w:hyperlink>
            <w:r w:rsidR="000243B6">
              <w:rPr>
                <w:sz w:val="24"/>
                <w:szCs w:val="24"/>
              </w:rPr>
              <w:t>)</w:t>
            </w:r>
            <w:r w:rsidRPr="00E61BC5">
              <w:rPr>
                <w:sz w:val="24"/>
                <w:szCs w:val="24"/>
              </w:rPr>
              <w:t>,</w:t>
            </w:r>
            <w:r w:rsidR="000243B6">
              <w:rPr>
                <w:sz w:val="24"/>
                <w:szCs w:val="24"/>
              </w:rPr>
              <w:t xml:space="preserve"> </w:t>
            </w:r>
            <w:r w:rsidRPr="00E61BC5">
              <w:rPr>
                <w:sz w:val="24"/>
                <w:szCs w:val="24"/>
              </w:rPr>
              <w:t xml:space="preserve"> nekāda pieredze nav nepieciešama un nav priekšrocība</w:t>
            </w:r>
            <w:r>
              <w:rPr>
                <w:sz w:val="24"/>
                <w:szCs w:val="24"/>
              </w:rPr>
              <w:t>, arī Erasmus akreditācija nav nepieciešama</w:t>
            </w:r>
            <w:r w:rsidRPr="00E61BC5">
              <w:rPr>
                <w:sz w:val="24"/>
                <w:szCs w:val="24"/>
              </w:rPr>
              <w:t>.</w:t>
            </w:r>
          </w:p>
        </w:tc>
      </w:tr>
      <w:tr w:rsidR="00BE58AC" w:rsidRPr="00D81241" w14:paraId="529B4179" w14:textId="77777777" w:rsidTr="003C6077">
        <w:tc>
          <w:tcPr>
            <w:tcW w:w="5287" w:type="dxa"/>
          </w:tcPr>
          <w:p w14:paraId="417F6360" w14:textId="7E6CAC94" w:rsidR="00BE58AC" w:rsidRPr="006D40D0" w:rsidRDefault="00BE58AC" w:rsidP="006D40D0">
            <w:pPr>
              <w:rPr>
                <w:sz w:val="24"/>
                <w:szCs w:val="24"/>
              </w:rPr>
            </w:pPr>
            <w:r>
              <w:rPr>
                <w:sz w:val="24"/>
                <w:szCs w:val="24"/>
              </w:rPr>
              <w:t>Kad aptuveni ir nākamais pieteikšanās termiņš pēc 23.februāra?</w:t>
            </w:r>
          </w:p>
        </w:tc>
        <w:tc>
          <w:tcPr>
            <w:tcW w:w="5486" w:type="dxa"/>
          </w:tcPr>
          <w:p w14:paraId="63D9458D" w14:textId="77777777" w:rsidR="00BE58AC" w:rsidRDefault="00564F47" w:rsidP="006D40D0">
            <w:pPr>
              <w:rPr>
                <w:sz w:val="24"/>
                <w:szCs w:val="24"/>
              </w:rPr>
            </w:pPr>
            <w:r>
              <w:rPr>
                <w:sz w:val="24"/>
                <w:szCs w:val="24"/>
              </w:rPr>
              <w:t>Pieteikšanās nākamajā konkursā prognozējama aptuveni pēc gada.</w:t>
            </w:r>
          </w:p>
          <w:p w14:paraId="4F14234E" w14:textId="7DA5779F" w:rsidR="00564F47" w:rsidRPr="006D40D0" w:rsidRDefault="00564F47" w:rsidP="006D40D0">
            <w:pPr>
              <w:rPr>
                <w:sz w:val="24"/>
                <w:szCs w:val="24"/>
              </w:rPr>
            </w:pPr>
            <w:r>
              <w:rPr>
                <w:sz w:val="24"/>
                <w:szCs w:val="24"/>
              </w:rPr>
              <w:t xml:space="preserve">Nepieciešamības gadījumā aģentūra var izsludināt 2022.gada konkursa 2.kārtu ar </w:t>
            </w:r>
            <w:r>
              <w:rPr>
                <w:sz w:val="24"/>
                <w:szCs w:val="24"/>
              </w:rPr>
              <w:t>pieteikumu</w:t>
            </w:r>
            <w:r>
              <w:rPr>
                <w:sz w:val="24"/>
                <w:szCs w:val="24"/>
              </w:rPr>
              <w:t xml:space="preserve"> iesniegšanas termiņu līdz 2022.gada 4.oktobra plkst.12.00. </w:t>
            </w:r>
            <w:r w:rsidR="008E4976">
              <w:rPr>
                <w:sz w:val="24"/>
                <w:szCs w:val="24"/>
              </w:rPr>
              <w:t>Ja tā tiks izsludināta, papildus informēsim vasarā.</w:t>
            </w:r>
          </w:p>
        </w:tc>
      </w:tr>
      <w:tr w:rsidR="00F23267" w:rsidRPr="00D81241" w14:paraId="6F039E03" w14:textId="77777777" w:rsidTr="003C6077">
        <w:tc>
          <w:tcPr>
            <w:tcW w:w="5287" w:type="dxa"/>
          </w:tcPr>
          <w:p w14:paraId="0F527EBE" w14:textId="241489F5" w:rsidR="006D40D0" w:rsidRPr="006D40D0" w:rsidRDefault="006D40D0" w:rsidP="006D40D0">
            <w:pPr>
              <w:rPr>
                <w:sz w:val="24"/>
                <w:szCs w:val="24"/>
              </w:rPr>
            </w:pPr>
            <w:r w:rsidRPr="006D40D0">
              <w:rPr>
                <w:sz w:val="24"/>
                <w:szCs w:val="24"/>
              </w:rPr>
              <w:t>Aizpildot šo pieteikuma anketu iestādei jau jābūt oficiāli sazinājušai ar iespējamo mobilitātes galamērķi? Respektīvi,</w:t>
            </w:r>
            <w:r>
              <w:rPr>
                <w:sz w:val="24"/>
                <w:szCs w:val="24"/>
              </w:rPr>
              <w:t xml:space="preserve"> </w:t>
            </w:r>
            <w:r w:rsidRPr="006D40D0">
              <w:rPr>
                <w:sz w:val="24"/>
                <w:szCs w:val="24"/>
              </w:rPr>
              <w:t>es skaidri zinu,</w:t>
            </w:r>
            <w:r>
              <w:rPr>
                <w:sz w:val="24"/>
                <w:szCs w:val="24"/>
              </w:rPr>
              <w:t xml:space="preserve"> </w:t>
            </w:r>
            <w:r w:rsidRPr="006D40D0">
              <w:rPr>
                <w:sz w:val="24"/>
                <w:szCs w:val="24"/>
              </w:rPr>
              <w:t>ka viņi mani uzņems un esmu ar viņiem sazinājusies.</w:t>
            </w:r>
          </w:p>
          <w:p w14:paraId="3A8A016F" w14:textId="42FD53BF" w:rsidR="00F23267" w:rsidRPr="005F2193" w:rsidRDefault="006D40D0" w:rsidP="006D40D0">
            <w:pPr>
              <w:rPr>
                <w:sz w:val="24"/>
                <w:szCs w:val="24"/>
              </w:rPr>
            </w:pPr>
            <w:r w:rsidRPr="006D40D0">
              <w:rPr>
                <w:sz w:val="24"/>
                <w:szCs w:val="24"/>
              </w:rPr>
              <w:t>Vai tikai ejam caur organizāciju sarakstam un apgalvoju,</w:t>
            </w:r>
            <w:r>
              <w:rPr>
                <w:sz w:val="24"/>
                <w:szCs w:val="24"/>
              </w:rPr>
              <w:t xml:space="preserve"> </w:t>
            </w:r>
            <w:r w:rsidRPr="006D40D0">
              <w:rPr>
                <w:sz w:val="24"/>
                <w:szCs w:val="24"/>
              </w:rPr>
              <w:t>ka varbūt uz šo.</w:t>
            </w:r>
            <w:r>
              <w:rPr>
                <w:sz w:val="24"/>
                <w:szCs w:val="24"/>
              </w:rPr>
              <w:t xml:space="preserve"> </w:t>
            </w:r>
            <w:r w:rsidRPr="006D40D0">
              <w:rPr>
                <w:sz w:val="24"/>
                <w:szCs w:val="24"/>
              </w:rPr>
              <w:t>Iestādei ir jāveic kāda saziņa ar mobilitātes organizāciju?</w:t>
            </w:r>
          </w:p>
        </w:tc>
        <w:tc>
          <w:tcPr>
            <w:tcW w:w="5486" w:type="dxa"/>
          </w:tcPr>
          <w:p w14:paraId="6C19BDB5" w14:textId="7ACBD7E5" w:rsidR="006D40D0" w:rsidRPr="006D40D0" w:rsidRDefault="006D40D0" w:rsidP="006D40D0">
            <w:pPr>
              <w:rPr>
                <w:sz w:val="24"/>
                <w:szCs w:val="24"/>
              </w:rPr>
            </w:pPr>
            <w:r w:rsidRPr="006D40D0">
              <w:rPr>
                <w:sz w:val="24"/>
                <w:szCs w:val="24"/>
              </w:rPr>
              <w:t xml:space="preserve">Jums pašiem būs drošāka sajūta, ja zināsiet, ka uzņemošā puse būtu gatava uzņemt jūsu dalībniekus, tāpēc rekomendējam apzināt uzņemošās organizācijas jau pieteikuma gatavošanas posmā. Projekta īstenošanas gaitā </w:t>
            </w:r>
            <w:r w:rsidR="00087B42">
              <w:rPr>
                <w:sz w:val="24"/>
                <w:szCs w:val="24"/>
              </w:rPr>
              <w:t xml:space="preserve">uzņemošās organizācijas </w:t>
            </w:r>
            <w:r w:rsidRPr="006D40D0">
              <w:rPr>
                <w:sz w:val="24"/>
                <w:szCs w:val="24"/>
              </w:rPr>
              <w:t>mainīt varēs.</w:t>
            </w:r>
          </w:p>
          <w:p w14:paraId="5B65E4B3" w14:textId="72EB7AFF" w:rsidR="00F23267" w:rsidRPr="005F2193" w:rsidRDefault="00F23267" w:rsidP="006D40D0">
            <w:pPr>
              <w:rPr>
                <w:sz w:val="24"/>
                <w:szCs w:val="24"/>
              </w:rPr>
            </w:pPr>
          </w:p>
        </w:tc>
      </w:tr>
      <w:tr w:rsidR="00F23267" w:rsidRPr="00D81241" w14:paraId="5FDEEEC2" w14:textId="77777777" w:rsidTr="003C6077">
        <w:tc>
          <w:tcPr>
            <w:tcW w:w="5287" w:type="dxa"/>
          </w:tcPr>
          <w:p w14:paraId="78D1C402" w14:textId="67400CA9" w:rsidR="00F23267" w:rsidRPr="005F2193" w:rsidRDefault="000F7625">
            <w:pPr>
              <w:rPr>
                <w:sz w:val="24"/>
                <w:szCs w:val="24"/>
              </w:rPr>
            </w:pPr>
            <w:r w:rsidRPr="000F7625">
              <w:rPr>
                <w:sz w:val="24"/>
                <w:szCs w:val="24"/>
              </w:rPr>
              <w:t>Ja uz Job shadowing ir 4 dažādas personas un 4 dažādām valstīm, kā tas tiek atspoguļots?</w:t>
            </w:r>
          </w:p>
        </w:tc>
        <w:tc>
          <w:tcPr>
            <w:tcW w:w="5486" w:type="dxa"/>
          </w:tcPr>
          <w:p w14:paraId="04FED26E" w14:textId="77777777" w:rsidR="00F23267" w:rsidRDefault="000F7625">
            <w:pPr>
              <w:rPr>
                <w:sz w:val="24"/>
                <w:szCs w:val="24"/>
              </w:rPr>
            </w:pPr>
            <w:r>
              <w:rPr>
                <w:sz w:val="24"/>
                <w:szCs w:val="24"/>
              </w:rPr>
              <w:t xml:space="preserve">KA122-SCH veidlapā </w:t>
            </w:r>
            <w:r w:rsidRPr="000F7625">
              <w:rPr>
                <w:sz w:val="24"/>
                <w:szCs w:val="24"/>
              </w:rPr>
              <w:t>tas tiek atspoguļots kā 4 mobilitātes plūsmas jeb 4 rindiņas pieteikumā zem Job shadowing aktivitātes.</w:t>
            </w:r>
          </w:p>
          <w:p w14:paraId="225988B9" w14:textId="7558EC50" w:rsidR="000F7625" w:rsidRPr="005F2193" w:rsidRDefault="000F7625">
            <w:pPr>
              <w:rPr>
                <w:sz w:val="24"/>
                <w:szCs w:val="24"/>
              </w:rPr>
            </w:pPr>
            <w:r>
              <w:rPr>
                <w:sz w:val="24"/>
                <w:szCs w:val="24"/>
              </w:rPr>
              <w:t xml:space="preserve">KA121-SCH veidlapā jānorāda kopējais </w:t>
            </w:r>
            <w:r w:rsidRPr="000F7625">
              <w:rPr>
                <w:i/>
                <w:iCs/>
                <w:sz w:val="24"/>
                <w:szCs w:val="24"/>
              </w:rPr>
              <w:t>Job shadowing</w:t>
            </w:r>
            <w:r w:rsidRPr="000F7625">
              <w:rPr>
                <w:sz w:val="24"/>
                <w:szCs w:val="24"/>
              </w:rPr>
              <w:t xml:space="preserve"> </w:t>
            </w:r>
            <w:r>
              <w:rPr>
                <w:sz w:val="24"/>
                <w:szCs w:val="24"/>
              </w:rPr>
              <w:t xml:space="preserve">dalībnieku skaits un kopējais mobilitātes ilgums par visiem </w:t>
            </w:r>
            <w:r w:rsidR="006D40D0" w:rsidRPr="000F7625">
              <w:rPr>
                <w:i/>
                <w:iCs/>
                <w:sz w:val="24"/>
                <w:szCs w:val="24"/>
              </w:rPr>
              <w:t>Job shadowing</w:t>
            </w:r>
            <w:r w:rsidR="006D40D0" w:rsidRPr="000F7625">
              <w:rPr>
                <w:sz w:val="24"/>
                <w:szCs w:val="24"/>
              </w:rPr>
              <w:t xml:space="preserve"> </w:t>
            </w:r>
            <w:r>
              <w:rPr>
                <w:sz w:val="24"/>
                <w:szCs w:val="24"/>
              </w:rPr>
              <w:t xml:space="preserve">dalībniekiem kopā. </w:t>
            </w:r>
          </w:p>
        </w:tc>
      </w:tr>
      <w:tr w:rsidR="00F23267" w:rsidRPr="00D81241" w14:paraId="68F66E05" w14:textId="77777777" w:rsidTr="003C6077">
        <w:tc>
          <w:tcPr>
            <w:tcW w:w="5287" w:type="dxa"/>
          </w:tcPr>
          <w:p w14:paraId="53191480" w14:textId="47AA2195" w:rsidR="00F23267" w:rsidRPr="005F2193" w:rsidRDefault="00F23267">
            <w:pPr>
              <w:rPr>
                <w:sz w:val="24"/>
                <w:szCs w:val="24"/>
              </w:rPr>
            </w:pPr>
            <w:r w:rsidRPr="00F23267">
              <w:rPr>
                <w:sz w:val="24"/>
                <w:szCs w:val="24"/>
              </w:rPr>
              <w:t>Vai šai veidlapai nav jāpievieno apstiprinājums no uzņemošās organizācijas?</w:t>
            </w:r>
          </w:p>
        </w:tc>
        <w:tc>
          <w:tcPr>
            <w:tcW w:w="5486" w:type="dxa"/>
          </w:tcPr>
          <w:p w14:paraId="0434643F" w14:textId="5F4018D8" w:rsidR="00F23267" w:rsidRPr="005F2193" w:rsidRDefault="00F23267">
            <w:pPr>
              <w:rPr>
                <w:sz w:val="24"/>
                <w:szCs w:val="24"/>
              </w:rPr>
            </w:pPr>
            <w:r>
              <w:rPr>
                <w:sz w:val="24"/>
                <w:szCs w:val="24"/>
              </w:rPr>
              <w:t xml:space="preserve">Ne </w:t>
            </w:r>
            <w:r w:rsidRPr="00F23267">
              <w:rPr>
                <w:sz w:val="24"/>
                <w:szCs w:val="24"/>
              </w:rPr>
              <w:t>KA122</w:t>
            </w:r>
            <w:r>
              <w:rPr>
                <w:sz w:val="24"/>
                <w:szCs w:val="24"/>
              </w:rPr>
              <w:t>-SCH, ne KA121-SCH</w:t>
            </w:r>
            <w:r w:rsidRPr="00F23267">
              <w:rPr>
                <w:sz w:val="24"/>
                <w:szCs w:val="24"/>
              </w:rPr>
              <w:t xml:space="preserve"> veidlapai nav jāpievieno apstiprinājums no uzņemošās organizācijas.</w:t>
            </w:r>
          </w:p>
        </w:tc>
      </w:tr>
      <w:tr w:rsidR="00F23267" w:rsidRPr="00D81241" w14:paraId="23808A6D" w14:textId="77777777" w:rsidTr="003C6077">
        <w:tc>
          <w:tcPr>
            <w:tcW w:w="5287" w:type="dxa"/>
          </w:tcPr>
          <w:p w14:paraId="7E9493B3" w14:textId="4BF1DC12" w:rsidR="00F23267" w:rsidRPr="005F2193" w:rsidRDefault="00E61BC5">
            <w:pPr>
              <w:rPr>
                <w:sz w:val="24"/>
                <w:szCs w:val="24"/>
              </w:rPr>
            </w:pPr>
            <w:r w:rsidRPr="00E61BC5">
              <w:rPr>
                <w:sz w:val="24"/>
                <w:szCs w:val="24"/>
              </w:rPr>
              <w:t>Veidlapa ir angļu valodā, bet varam rakstīt latviešu valodā</w:t>
            </w:r>
            <w:r>
              <w:rPr>
                <w:sz w:val="24"/>
                <w:szCs w:val="24"/>
              </w:rPr>
              <w:t>?</w:t>
            </w:r>
          </w:p>
        </w:tc>
        <w:tc>
          <w:tcPr>
            <w:tcW w:w="5486" w:type="dxa"/>
          </w:tcPr>
          <w:p w14:paraId="24F343E6" w14:textId="1E72C405" w:rsidR="00F23267" w:rsidRPr="005F2193" w:rsidRDefault="00E61BC5">
            <w:pPr>
              <w:rPr>
                <w:sz w:val="24"/>
                <w:szCs w:val="24"/>
              </w:rPr>
            </w:pPr>
            <w:r w:rsidRPr="00E61BC5">
              <w:rPr>
                <w:sz w:val="24"/>
                <w:szCs w:val="24"/>
              </w:rPr>
              <w:t>Pieteikumu aicinām iesniegt latviešu valodā, ir iespēja rakstīt jebkurā ES valsts valodā, bet nav nepieciešamības rakstīt angliski, jo tas ir tikai jūsu organizācijas projekts (nav saistošs citām organizācijām no citām valstīm), un to vērtēs Latvijā.</w:t>
            </w:r>
          </w:p>
        </w:tc>
      </w:tr>
      <w:tr w:rsidR="00F23267" w:rsidRPr="00D81241" w14:paraId="20AE2D2B" w14:textId="77777777" w:rsidTr="003C6077">
        <w:tc>
          <w:tcPr>
            <w:tcW w:w="5287" w:type="dxa"/>
          </w:tcPr>
          <w:p w14:paraId="0F31AAC3" w14:textId="3BEDE88F" w:rsidR="00F23267" w:rsidRPr="005F2193" w:rsidRDefault="00F23267">
            <w:pPr>
              <w:rPr>
                <w:sz w:val="24"/>
                <w:szCs w:val="24"/>
              </w:rPr>
            </w:pPr>
            <w:r w:rsidRPr="00F23267">
              <w:rPr>
                <w:sz w:val="24"/>
                <w:szCs w:val="24"/>
              </w:rPr>
              <w:lastRenderedPageBreak/>
              <w:t>Kāpēc tad veidlapas jautājumi nav latviski,</w:t>
            </w:r>
            <w:r>
              <w:rPr>
                <w:sz w:val="24"/>
                <w:szCs w:val="24"/>
              </w:rPr>
              <w:t xml:space="preserve"> </w:t>
            </w:r>
            <w:r w:rsidRPr="00F23267">
              <w:rPr>
                <w:sz w:val="24"/>
                <w:szCs w:val="24"/>
              </w:rPr>
              <w:t>bet gan jāburas cauri angļu valodai?</w:t>
            </w:r>
          </w:p>
        </w:tc>
        <w:tc>
          <w:tcPr>
            <w:tcW w:w="5486" w:type="dxa"/>
          </w:tcPr>
          <w:p w14:paraId="7F70AD1D" w14:textId="1D8FECFF" w:rsidR="00F23267" w:rsidRPr="005F2193" w:rsidRDefault="00E61BC5">
            <w:pPr>
              <w:rPr>
                <w:sz w:val="24"/>
                <w:szCs w:val="24"/>
              </w:rPr>
            </w:pPr>
            <w:r>
              <w:rPr>
                <w:sz w:val="24"/>
                <w:szCs w:val="24"/>
              </w:rPr>
              <w:t>Lai pieteicējiem iespējami operatīvi būtu pieejamas pašas jaunākās pieteikuma veidlapu versijas, tās netiek tulkotas latviešu valodā.</w:t>
            </w:r>
            <w:r w:rsidR="000632F0">
              <w:rPr>
                <w:sz w:val="24"/>
                <w:szCs w:val="24"/>
              </w:rPr>
              <w:t xml:space="preserve"> Veidlapās lietotie termini precīzi sakrīt ar Erasmus+ vadlīnijās noteiktajiem</w:t>
            </w:r>
            <w:r w:rsidR="00087B42">
              <w:rPr>
                <w:sz w:val="24"/>
                <w:szCs w:val="24"/>
              </w:rPr>
              <w:t>, kur angļu versijai tulkojumu nesakritību gadījumā ir noteicošā loma.</w:t>
            </w:r>
          </w:p>
        </w:tc>
      </w:tr>
      <w:tr w:rsidR="00F23267" w:rsidRPr="00D81241" w14:paraId="3DF1611E" w14:textId="77777777" w:rsidTr="003C6077">
        <w:tc>
          <w:tcPr>
            <w:tcW w:w="5287" w:type="dxa"/>
          </w:tcPr>
          <w:p w14:paraId="45CEA2D0" w14:textId="21887C5A" w:rsidR="00F23267" w:rsidRPr="005F2193" w:rsidRDefault="00F23267">
            <w:pPr>
              <w:rPr>
                <w:sz w:val="24"/>
                <w:szCs w:val="24"/>
              </w:rPr>
            </w:pPr>
            <w:r w:rsidRPr="00F23267">
              <w:rPr>
                <w:sz w:val="24"/>
                <w:szCs w:val="24"/>
              </w:rPr>
              <w:t>Ja mūsu skolai šobrīd ir projekts KA229, kas šogad beigsies un ir doma par līdzīgu projektu. Vai tas pēc jaunā tagad sanāk KA122? Tātad šī anketa?</w:t>
            </w:r>
          </w:p>
        </w:tc>
        <w:tc>
          <w:tcPr>
            <w:tcW w:w="5486" w:type="dxa"/>
          </w:tcPr>
          <w:p w14:paraId="2348E120" w14:textId="6A476D6B" w:rsidR="00F23267" w:rsidRPr="005F2193" w:rsidRDefault="000F7625">
            <w:pPr>
              <w:rPr>
                <w:sz w:val="24"/>
                <w:szCs w:val="24"/>
              </w:rPr>
            </w:pPr>
            <w:r>
              <w:rPr>
                <w:sz w:val="24"/>
                <w:szCs w:val="24"/>
              </w:rPr>
              <w:t>K</w:t>
            </w:r>
            <w:r w:rsidRPr="000F7625">
              <w:rPr>
                <w:sz w:val="24"/>
                <w:szCs w:val="24"/>
              </w:rPr>
              <w:t xml:space="preserve">A229 līdzīgs projekts būs KA210-SCH, bet arī ar </w:t>
            </w:r>
            <w:r>
              <w:rPr>
                <w:sz w:val="24"/>
                <w:szCs w:val="24"/>
              </w:rPr>
              <w:t xml:space="preserve">mobilitāšu projektu </w:t>
            </w:r>
            <w:r w:rsidRPr="000F7625">
              <w:rPr>
                <w:sz w:val="24"/>
                <w:szCs w:val="24"/>
              </w:rPr>
              <w:t xml:space="preserve">KA122-SCH ir iespējams </w:t>
            </w:r>
            <w:r>
              <w:rPr>
                <w:sz w:val="24"/>
                <w:szCs w:val="24"/>
              </w:rPr>
              <w:t xml:space="preserve">sasniegt </w:t>
            </w:r>
            <w:r w:rsidRPr="000F7625">
              <w:rPr>
                <w:sz w:val="24"/>
                <w:szCs w:val="24"/>
              </w:rPr>
              <w:t>līdzīg</w:t>
            </w:r>
            <w:r>
              <w:rPr>
                <w:sz w:val="24"/>
                <w:szCs w:val="24"/>
              </w:rPr>
              <w:t>u</w:t>
            </w:r>
            <w:r w:rsidRPr="000F7625">
              <w:rPr>
                <w:sz w:val="24"/>
                <w:szCs w:val="24"/>
              </w:rPr>
              <w:t xml:space="preserve"> rezultāt</w:t>
            </w:r>
            <w:r>
              <w:rPr>
                <w:sz w:val="24"/>
                <w:szCs w:val="24"/>
              </w:rPr>
              <w:t>u</w:t>
            </w:r>
            <w:r w:rsidRPr="000F7625">
              <w:rPr>
                <w:sz w:val="24"/>
                <w:szCs w:val="24"/>
              </w:rPr>
              <w:t>, tikai katrai skolai jāiesniedz savs KA122-SCH savas valsts aģentūrā, jo jūs saņemat finansējumu tikai izejošajiem dalībniekiem (jūsu personālam vai skolēniem, ko sūtāt).</w:t>
            </w:r>
          </w:p>
        </w:tc>
      </w:tr>
      <w:tr w:rsidR="005F2193" w:rsidRPr="00D81241" w14:paraId="1355E767" w14:textId="77777777" w:rsidTr="003C6077">
        <w:tc>
          <w:tcPr>
            <w:tcW w:w="5287" w:type="dxa"/>
          </w:tcPr>
          <w:p w14:paraId="277A4A0B" w14:textId="736AACE2" w:rsidR="005F2193" w:rsidRPr="009D7E91" w:rsidRDefault="005F2193">
            <w:pPr>
              <w:rPr>
                <w:sz w:val="24"/>
                <w:szCs w:val="24"/>
              </w:rPr>
            </w:pPr>
            <w:r w:rsidRPr="005F2193">
              <w:rPr>
                <w:sz w:val="24"/>
                <w:szCs w:val="24"/>
              </w:rPr>
              <w:t xml:space="preserve">Ja projektā ir 4 valstis, ieskaitot Latviju un skolēni brauktu mobilitātē uz tām 3 valstīm, tad  šī pati anketa, vai ne? </w:t>
            </w:r>
          </w:p>
        </w:tc>
        <w:tc>
          <w:tcPr>
            <w:tcW w:w="5486" w:type="dxa"/>
          </w:tcPr>
          <w:p w14:paraId="19775DCB" w14:textId="42CDBB25" w:rsidR="005F2193" w:rsidRDefault="005F2193">
            <w:pPr>
              <w:rPr>
                <w:sz w:val="24"/>
                <w:szCs w:val="24"/>
              </w:rPr>
            </w:pPr>
            <w:r w:rsidRPr="005F2193">
              <w:rPr>
                <w:sz w:val="24"/>
                <w:szCs w:val="24"/>
              </w:rPr>
              <w:t>J</w:t>
            </w:r>
            <w:r>
              <w:rPr>
                <w:sz w:val="24"/>
                <w:szCs w:val="24"/>
              </w:rPr>
              <w:t>ā</w:t>
            </w:r>
            <w:r w:rsidRPr="005F2193">
              <w:rPr>
                <w:sz w:val="24"/>
                <w:szCs w:val="24"/>
              </w:rPr>
              <w:t xml:space="preserve">, </w:t>
            </w:r>
            <w:r>
              <w:rPr>
                <w:sz w:val="24"/>
                <w:szCs w:val="24"/>
              </w:rPr>
              <w:t>KA122</w:t>
            </w:r>
            <w:r w:rsidR="00F23267">
              <w:rPr>
                <w:sz w:val="24"/>
                <w:szCs w:val="24"/>
              </w:rPr>
              <w:t xml:space="preserve">-SCH </w:t>
            </w:r>
            <w:r>
              <w:rPr>
                <w:sz w:val="24"/>
                <w:szCs w:val="24"/>
              </w:rPr>
              <w:t xml:space="preserve">pieteikums būs par jūsu skolas mērķiem un to sasniegšanai plānotajām mobilitātēm, </w:t>
            </w:r>
            <w:r w:rsidRPr="005F2193">
              <w:rPr>
                <w:sz w:val="24"/>
                <w:szCs w:val="24"/>
              </w:rPr>
              <w:t>tomēr vienlaikus šīm 3 valstu skolām būtu jāraksta savi pieteikumi</w:t>
            </w:r>
            <w:r w:rsidR="00F23267">
              <w:rPr>
                <w:sz w:val="24"/>
                <w:szCs w:val="24"/>
              </w:rPr>
              <w:t xml:space="preserve"> un jāiesniedz attiecīgo valstu nacionālajās aģentūrās</w:t>
            </w:r>
            <w:r w:rsidRPr="005F2193">
              <w:rPr>
                <w:sz w:val="24"/>
                <w:szCs w:val="24"/>
              </w:rPr>
              <w:t>, lai viņi saņemtu finansējumu SAVU dalībnieku sūtīšanai pie jums.</w:t>
            </w:r>
          </w:p>
        </w:tc>
      </w:tr>
      <w:tr w:rsidR="00E61BC5" w:rsidRPr="00D81241" w14:paraId="5F27208C" w14:textId="77777777" w:rsidTr="003C6077">
        <w:tc>
          <w:tcPr>
            <w:tcW w:w="5287" w:type="dxa"/>
          </w:tcPr>
          <w:p w14:paraId="0E04BCA8" w14:textId="594D6DF5" w:rsidR="00E61BC5" w:rsidRPr="009D7E91" w:rsidRDefault="00E61BC5">
            <w:pPr>
              <w:rPr>
                <w:sz w:val="24"/>
                <w:szCs w:val="24"/>
              </w:rPr>
            </w:pPr>
            <w:r w:rsidRPr="00E61BC5">
              <w:rPr>
                <w:sz w:val="24"/>
                <w:szCs w:val="24"/>
              </w:rPr>
              <w:t>Tātad šo var iesniegt arī tie kam nav erasmus akreditācija?</w:t>
            </w:r>
          </w:p>
        </w:tc>
        <w:tc>
          <w:tcPr>
            <w:tcW w:w="5486" w:type="dxa"/>
          </w:tcPr>
          <w:p w14:paraId="66C643E2" w14:textId="280A8659" w:rsidR="00E61BC5" w:rsidRDefault="00E61BC5">
            <w:pPr>
              <w:rPr>
                <w:sz w:val="24"/>
                <w:szCs w:val="24"/>
              </w:rPr>
            </w:pPr>
            <w:r>
              <w:rPr>
                <w:sz w:val="24"/>
                <w:szCs w:val="24"/>
              </w:rPr>
              <w:t xml:space="preserve">KA122-SCH jeb īstermiņa projekta pieteikuma </w:t>
            </w:r>
            <w:r w:rsidRPr="00E61BC5">
              <w:rPr>
                <w:sz w:val="24"/>
                <w:szCs w:val="24"/>
              </w:rPr>
              <w:t>veidlapu var iesniegt jebkura dalībtiesīga organizācija, nekāda pieredze nav nepieciešama un nav priekšrocība</w:t>
            </w:r>
            <w:r>
              <w:rPr>
                <w:sz w:val="24"/>
                <w:szCs w:val="24"/>
              </w:rPr>
              <w:t>, arī Erasmus akreditācija nav nepieciešama</w:t>
            </w:r>
            <w:r w:rsidRPr="00E61BC5">
              <w:rPr>
                <w:sz w:val="24"/>
                <w:szCs w:val="24"/>
              </w:rPr>
              <w:t>.</w:t>
            </w:r>
          </w:p>
        </w:tc>
      </w:tr>
      <w:tr w:rsidR="00D81241" w:rsidRPr="00D81241" w14:paraId="59D0B401" w14:textId="77777777" w:rsidTr="003C6077">
        <w:tc>
          <w:tcPr>
            <w:tcW w:w="5287" w:type="dxa"/>
          </w:tcPr>
          <w:p w14:paraId="298BE09C" w14:textId="7CC2A219" w:rsidR="00D81241" w:rsidRPr="00D81241" w:rsidRDefault="009D7E91">
            <w:pPr>
              <w:rPr>
                <w:sz w:val="24"/>
                <w:szCs w:val="24"/>
              </w:rPr>
            </w:pPr>
            <w:r w:rsidRPr="009D7E91">
              <w:rPr>
                <w:sz w:val="24"/>
                <w:szCs w:val="24"/>
              </w:rPr>
              <w:t>Vai TOTAL DURATION DAYS ietver arī ceļošanas dienas?</w:t>
            </w:r>
          </w:p>
        </w:tc>
        <w:tc>
          <w:tcPr>
            <w:tcW w:w="5486" w:type="dxa"/>
          </w:tcPr>
          <w:p w14:paraId="020DCEAF" w14:textId="1358AF19" w:rsidR="00462404" w:rsidRDefault="00462404">
            <w:pPr>
              <w:rPr>
                <w:sz w:val="24"/>
                <w:szCs w:val="24"/>
              </w:rPr>
            </w:pPr>
            <w:r>
              <w:rPr>
                <w:sz w:val="24"/>
                <w:szCs w:val="24"/>
              </w:rPr>
              <w:t xml:space="preserve">Akreditēta projekta pieteikuma veidlapā KA121-SCH – jā. </w:t>
            </w:r>
          </w:p>
          <w:p w14:paraId="763491F7" w14:textId="14348B99" w:rsidR="00D81241" w:rsidRPr="00D81241" w:rsidRDefault="00462404">
            <w:pPr>
              <w:rPr>
                <w:sz w:val="24"/>
                <w:szCs w:val="24"/>
              </w:rPr>
            </w:pPr>
            <w:r>
              <w:rPr>
                <w:sz w:val="24"/>
                <w:szCs w:val="24"/>
              </w:rPr>
              <w:t xml:space="preserve">Savukārt īstermiņa projekta </w:t>
            </w:r>
            <w:r>
              <w:rPr>
                <w:sz w:val="24"/>
                <w:szCs w:val="24"/>
              </w:rPr>
              <w:t>pieteikuma veidlapā KA12</w:t>
            </w:r>
            <w:r>
              <w:rPr>
                <w:sz w:val="24"/>
                <w:szCs w:val="24"/>
              </w:rPr>
              <w:t>2</w:t>
            </w:r>
            <w:r>
              <w:rPr>
                <w:sz w:val="24"/>
                <w:szCs w:val="24"/>
              </w:rPr>
              <w:t>-SCH</w:t>
            </w:r>
            <w:r>
              <w:rPr>
                <w:sz w:val="24"/>
                <w:szCs w:val="24"/>
              </w:rPr>
              <w:t xml:space="preserve"> ceļa dienas norādāmas papildus mobilitātes dienām budžeta </w:t>
            </w:r>
            <w:r w:rsidR="00F43CB4">
              <w:rPr>
                <w:sz w:val="24"/>
                <w:szCs w:val="24"/>
              </w:rPr>
              <w:t>apakš</w:t>
            </w:r>
            <w:r>
              <w:rPr>
                <w:sz w:val="24"/>
                <w:szCs w:val="24"/>
              </w:rPr>
              <w:t xml:space="preserve">sadaļā </w:t>
            </w:r>
            <w:r w:rsidR="00F43CB4" w:rsidRPr="00F43CB4">
              <w:rPr>
                <w:i/>
                <w:iCs/>
                <w:sz w:val="24"/>
                <w:szCs w:val="24"/>
              </w:rPr>
              <w:t>Individual support</w:t>
            </w:r>
            <w:r w:rsidR="00F43CB4">
              <w:rPr>
                <w:sz w:val="24"/>
                <w:szCs w:val="24"/>
              </w:rPr>
              <w:t>.</w:t>
            </w:r>
          </w:p>
        </w:tc>
      </w:tr>
      <w:tr w:rsidR="00D81241" w:rsidRPr="00D81241" w14:paraId="31B14095" w14:textId="77777777" w:rsidTr="003C6077">
        <w:tc>
          <w:tcPr>
            <w:tcW w:w="5287" w:type="dxa"/>
          </w:tcPr>
          <w:p w14:paraId="36966D32" w14:textId="26F0C6EA" w:rsidR="00D81241" w:rsidRPr="00D81241" w:rsidRDefault="00F43CB4">
            <w:pPr>
              <w:rPr>
                <w:sz w:val="24"/>
                <w:szCs w:val="24"/>
              </w:rPr>
            </w:pPr>
            <w:r w:rsidRPr="00F43CB4">
              <w:rPr>
                <w:sz w:val="24"/>
                <w:szCs w:val="24"/>
              </w:rPr>
              <w:t>Kā tiek aprēķināts finansējums eksperta uzaicināšanai?</w:t>
            </w:r>
          </w:p>
        </w:tc>
        <w:tc>
          <w:tcPr>
            <w:tcW w:w="5486" w:type="dxa"/>
          </w:tcPr>
          <w:p w14:paraId="513CCFB0" w14:textId="54618282" w:rsidR="00F43CB4" w:rsidRPr="00F43CB4" w:rsidRDefault="00F43CB4" w:rsidP="00F43CB4">
            <w:pPr>
              <w:rPr>
                <w:sz w:val="24"/>
                <w:szCs w:val="24"/>
              </w:rPr>
            </w:pPr>
            <w:r w:rsidRPr="00F43CB4">
              <w:rPr>
                <w:sz w:val="24"/>
                <w:szCs w:val="24"/>
              </w:rPr>
              <w:t>•</w:t>
            </w:r>
            <w:r w:rsidRPr="00F43CB4">
              <w:rPr>
                <w:sz w:val="24"/>
                <w:szCs w:val="24"/>
              </w:rPr>
              <w:tab/>
              <w:t>Organizatoriskais atbalsts – 100 EUR</w:t>
            </w:r>
            <w:r w:rsidRPr="00F43CB4">
              <w:rPr>
                <w:sz w:val="24"/>
                <w:szCs w:val="24"/>
              </w:rPr>
              <w:cr/>
              <w:t>•</w:t>
            </w:r>
            <w:r w:rsidRPr="00F43CB4">
              <w:rPr>
                <w:sz w:val="24"/>
                <w:szCs w:val="24"/>
              </w:rPr>
              <w:tab/>
              <w:t xml:space="preserve">Ceļa izdevumi: </w:t>
            </w:r>
            <w:r>
              <w:rPr>
                <w:sz w:val="24"/>
                <w:szCs w:val="24"/>
              </w:rPr>
              <w:t>atkarībā no</w:t>
            </w:r>
            <w:r w:rsidRPr="00F43CB4">
              <w:rPr>
                <w:sz w:val="24"/>
                <w:szCs w:val="24"/>
              </w:rPr>
              <w:t xml:space="preserve"> attāluma kategorijas no </w:t>
            </w:r>
            <w:r>
              <w:rPr>
                <w:sz w:val="24"/>
                <w:szCs w:val="24"/>
              </w:rPr>
              <w:t xml:space="preserve">eksperta </w:t>
            </w:r>
            <w:r w:rsidRPr="00F43CB4">
              <w:rPr>
                <w:sz w:val="24"/>
                <w:szCs w:val="24"/>
              </w:rPr>
              <w:t>mītnes pilsētas līdz mobilitātes norises pilsētai</w:t>
            </w:r>
            <w:r>
              <w:rPr>
                <w:sz w:val="24"/>
                <w:szCs w:val="24"/>
              </w:rPr>
              <w:t xml:space="preserve"> jeb Jūsu organizācijas pilsētai </w:t>
            </w:r>
            <w:r w:rsidRPr="00F43CB4">
              <w:rPr>
                <w:sz w:val="24"/>
                <w:szCs w:val="24"/>
              </w:rPr>
              <w:t xml:space="preserve">(km) pēc attāluma aprēķināšanas kalkulatora: </w:t>
            </w:r>
            <w:hyperlink r:id="rId6" w:history="1">
              <w:r w:rsidRPr="00D46E11">
                <w:rPr>
                  <w:rStyle w:val="Hyperlink"/>
                  <w:sz w:val="24"/>
                  <w:szCs w:val="24"/>
                </w:rPr>
                <w:t>http://ec.europa.eu/programmes/erasmus-plus/resources/distance-calculator_en</w:t>
              </w:r>
            </w:hyperlink>
            <w:r>
              <w:rPr>
                <w:sz w:val="24"/>
                <w:szCs w:val="24"/>
              </w:rPr>
              <w:t xml:space="preserve"> </w:t>
            </w:r>
          </w:p>
          <w:p w14:paraId="43E7E10B" w14:textId="50D62F88" w:rsidR="00D81241" w:rsidRPr="00D81241" w:rsidRDefault="00F43CB4" w:rsidP="00F43CB4">
            <w:pPr>
              <w:rPr>
                <w:sz w:val="24"/>
                <w:szCs w:val="24"/>
              </w:rPr>
            </w:pPr>
            <w:r w:rsidRPr="00F43CB4">
              <w:rPr>
                <w:sz w:val="24"/>
                <w:szCs w:val="24"/>
              </w:rPr>
              <w:t>•</w:t>
            </w:r>
            <w:r w:rsidRPr="00F43CB4">
              <w:rPr>
                <w:sz w:val="24"/>
                <w:szCs w:val="24"/>
              </w:rPr>
              <w:tab/>
              <w:t xml:space="preserve">Individuālais atbalsts atkarībā no mobilitātes </w:t>
            </w:r>
            <w:r>
              <w:rPr>
                <w:sz w:val="24"/>
                <w:szCs w:val="24"/>
              </w:rPr>
              <w:t>ilguma pēc Latvijas</w:t>
            </w:r>
            <w:r w:rsidR="00030C39">
              <w:rPr>
                <w:sz w:val="24"/>
                <w:szCs w:val="24"/>
              </w:rPr>
              <w:t xml:space="preserve"> jeb 3.valstu grupas</w:t>
            </w:r>
            <w:r>
              <w:rPr>
                <w:sz w:val="24"/>
                <w:szCs w:val="24"/>
              </w:rPr>
              <w:t xml:space="preserve"> likmes</w:t>
            </w:r>
            <w:r w:rsidR="00030C39">
              <w:rPr>
                <w:sz w:val="24"/>
                <w:szCs w:val="24"/>
              </w:rPr>
              <w:t>.</w:t>
            </w:r>
          </w:p>
        </w:tc>
      </w:tr>
      <w:tr w:rsidR="00D81241" w:rsidRPr="00D81241" w14:paraId="177445FF" w14:textId="77777777" w:rsidTr="003C6077">
        <w:tc>
          <w:tcPr>
            <w:tcW w:w="5287" w:type="dxa"/>
          </w:tcPr>
          <w:p w14:paraId="780768F2" w14:textId="6EBC2EC2" w:rsidR="00D81241" w:rsidRPr="00D81241" w:rsidRDefault="00030C39">
            <w:pPr>
              <w:rPr>
                <w:sz w:val="24"/>
                <w:szCs w:val="24"/>
              </w:rPr>
            </w:pPr>
            <w:r w:rsidRPr="00030C39">
              <w:rPr>
                <w:sz w:val="24"/>
                <w:szCs w:val="24"/>
              </w:rPr>
              <w:t>Lūgums precizēt par "zalo ceļošanu"" - vai tas nozīmē ceļošanu tikai ar vilcienu vai autobusu</w:t>
            </w:r>
            <w:r>
              <w:rPr>
                <w:sz w:val="24"/>
                <w:szCs w:val="24"/>
              </w:rPr>
              <w:t>?</w:t>
            </w:r>
          </w:p>
        </w:tc>
        <w:tc>
          <w:tcPr>
            <w:tcW w:w="5486" w:type="dxa"/>
          </w:tcPr>
          <w:p w14:paraId="4F51FD6E" w14:textId="4B194AFE" w:rsidR="00D81241" w:rsidRPr="00D81241" w:rsidRDefault="00030C39">
            <w:pPr>
              <w:rPr>
                <w:sz w:val="24"/>
                <w:szCs w:val="24"/>
              </w:rPr>
            </w:pPr>
            <w:r w:rsidRPr="00030C39">
              <w:rPr>
                <w:sz w:val="24"/>
                <w:szCs w:val="24"/>
              </w:rPr>
              <w:t>"</w:t>
            </w:r>
            <w:r w:rsidR="001C00FE">
              <w:rPr>
                <w:sz w:val="24"/>
                <w:szCs w:val="24"/>
              </w:rPr>
              <w:t>Z</w:t>
            </w:r>
            <w:r w:rsidRPr="00030C39">
              <w:rPr>
                <w:sz w:val="24"/>
                <w:szCs w:val="24"/>
              </w:rPr>
              <w:t xml:space="preserve">alā ceļošana" - nozīmē ceļošanu ar vilcienu, autobusu vai automašīnas koplietošanu (vienā mašīnā vairāk kā 1 dalībnieks), </w:t>
            </w:r>
            <w:r w:rsidR="001C00FE">
              <w:rPr>
                <w:sz w:val="24"/>
                <w:szCs w:val="24"/>
              </w:rPr>
              <w:t xml:space="preserve">elektroauto, </w:t>
            </w:r>
            <w:r w:rsidRPr="00030C39">
              <w:rPr>
                <w:sz w:val="24"/>
                <w:szCs w:val="24"/>
              </w:rPr>
              <w:t>velosipēd</w:t>
            </w:r>
            <w:r w:rsidR="005F2193">
              <w:rPr>
                <w:sz w:val="24"/>
                <w:szCs w:val="24"/>
              </w:rPr>
              <w:t>u</w:t>
            </w:r>
            <w:r w:rsidRPr="00030C39">
              <w:rPr>
                <w:sz w:val="24"/>
                <w:szCs w:val="24"/>
              </w:rPr>
              <w:t xml:space="preserve"> u.tml.</w:t>
            </w:r>
          </w:p>
        </w:tc>
      </w:tr>
      <w:tr w:rsidR="00D90F9A" w:rsidRPr="00D81241" w14:paraId="773BE876" w14:textId="77777777" w:rsidTr="003C6077">
        <w:tc>
          <w:tcPr>
            <w:tcW w:w="5287" w:type="dxa"/>
          </w:tcPr>
          <w:p w14:paraId="6649C01B" w14:textId="7DD5F59E" w:rsidR="00D90F9A" w:rsidRPr="00D81241" w:rsidRDefault="00D90F9A" w:rsidP="002A7D8D">
            <w:pPr>
              <w:rPr>
                <w:sz w:val="24"/>
                <w:szCs w:val="24"/>
              </w:rPr>
            </w:pPr>
            <w:r>
              <w:rPr>
                <w:sz w:val="24"/>
                <w:szCs w:val="24"/>
              </w:rPr>
              <w:t>Vai prāmis skaitās “zaļā ceļošana”?</w:t>
            </w:r>
          </w:p>
        </w:tc>
        <w:tc>
          <w:tcPr>
            <w:tcW w:w="5486" w:type="dxa"/>
          </w:tcPr>
          <w:p w14:paraId="365BB502" w14:textId="2E19EDB9" w:rsidR="00D90F9A" w:rsidRDefault="00D90F9A" w:rsidP="002A7D8D">
            <w:pPr>
              <w:rPr>
                <w:sz w:val="24"/>
                <w:szCs w:val="24"/>
              </w:rPr>
            </w:pPr>
            <w:r>
              <w:rPr>
                <w:sz w:val="24"/>
                <w:szCs w:val="24"/>
              </w:rPr>
              <w:t>Nē, prāmis atzīts par transporta veidu ar lielu CO2 izmešu daudzumu uz kilometru, tādēļ netiek uzskatīts par “zaļu” transporta veidu.</w:t>
            </w:r>
          </w:p>
        </w:tc>
      </w:tr>
      <w:tr w:rsidR="003C6077" w:rsidRPr="00D81241" w14:paraId="05D2F462" w14:textId="77777777" w:rsidTr="003C6077">
        <w:tc>
          <w:tcPr>
            <w:tcW w:w="5287" w:type="dxa"/>
          </w:tcPr>
          <w:p w14:paraId="0A5BBBBB" w14:textId="77777777" w:rsidR="003C6077" w:rsidRPr="00D81241" w:rsidRDefault="003C6077" w:rsidP="002A7D8D">
            <w:pPr>
              <w:rPr>
                <w:sz w:val="24"/>
                <w:szCs w:val="24"/>
              </w:rPr>
            </w:pPr>
            <w:r w:rsidRPr="00D81241">
              <w:rPr>
                <w:sz w:val="24"/>
                <w:szCs w:val="24"/>
              </w:rPr>
              <w:t xml:space="preserve">Vai ir kāda metodika grāmatvežiem kā operēt ar šiem finanšu līdzekļiem? Piemēram, kā tad šo individuālo atbalstu dalībniekam lietot? </w:t>
            </w:r>
            <w:r w:rsidRPr="00D81241">
              <w:rPr>
                <w:sz w:val="24"/>
                <w:szCs w:val="24"/>
              </w:rPr>
              <w:lastRenderedPageBreak/>
              <w:t>Organizācija to pārskaita uz katra dalībnieka kontu? Vai pārskaita uz savu organizācijas speciāli izveidotu maksājumu karti un tad dalībnieki maksā kopīgi. Bet kā ar rekvizītiem čekos ārzemēs... Finanšu līdzekļiem, kuri ir Valsts kasē, maksājumu karte netiek pievienota. Grāmatvedei ir daudz neskaidrību. Projektu finanšu operēšana esot specifiska.</w:t>
            </w:r>
          </w:p>
        </w:tc>
        <w:tc>
          <w:tcPr>
            <w:tcW w:w="5486" w:type="dxa"/>
          </w:tcPr>
          <w:p w14:paraId="7C3DB8E4" w14:textId="77777777" w:rsidR="003C6077" w:rsidRDefault="003C6077" w:rsidP="002A7D8D">
            <w:pPr>
              <w:rPr>
                <w:sz w:val="24"/>
                <w:szCs w:val="24"/>
              </w:rPr>
            </w:pPr>
            <w:r>
              <w:rPr>
                <w:sz w:val="24"/>
                <w:szCs w:val="24"/>
              </w:rPr>
              <w:lastRenderedPageBreak/>
              <w:t xml:space="preserve">Atsevišķa metodika Erasmus+ projektu grāmatvedības kārtošanai nav izstrādāta. Grāmatvedība ir jākārto saskaņā ar iestādē noteikto grāmatvedības </w:t>
            </w:r>
            <w:r>
              <w:rPr>
                <w:sz w:val="24"/>
                <w:szCs w:val="24"/>
              </w:rPr>
              <w:lastRenderedPageBreak/>
              <w:t xml:space="preserve">organizēšanas/kārtošanas politiku, kuru var noteikti papildināt arī ar sadaļu par </w:t>
            </w:r>
            <w:r>
              <w:rPr>
                <w:i/>
                <w:iCs/>
                <w:sz w:val="24"/>
                <w:szCs w:val="24"/>
              </w:rPr>
              <w:t>Erasmus</w:t>
            </w:r>
            <w:r>
              <w:rPr>
                <w:sz w:val="24"/>
                <w:szCs w:val="24"/>
              </w:rPr>
              <w:t>+ projektu īstenošanu (jo nereti iestādes izmanto komandējumu MK noteikumus un tur noteiktās likmes, kas nozīmē, ka var veidoties pārpalikumi, jo individuālā finansējuma likmes nav iespējams izlietot, bet arī šajos MK noteikumos ir izņēmumi attiecībā uz ārvalstu finansētajiem projektiem, kas ļauj jums pielietot E+ programmas noteiktās likmes. Bet tam jābūt iestrādātam iestādes grāmatvedības kārtošanas politikā/kārtībā).</w:t>
            </w:r>
          </w:p>
          <w:p w14:paraId="66EAF95D" w14:textId="77777777" w:rsidR="003C6077" w:rsidRDefault="003C6077" w:rsidP="002A7D8D">
            <w:pPr>
              <w:rPr>
                <w:sz w:val="24"/>
                <w:szCs w:val="24"/>
              </w:rPr>
            </w:pPr>
            <w:r>
              <w:rPr>
                <w:sz w:val="24"/>
                <w:szCs w:val="24"/>
              </w:rPr>
              <w:t>Norēķini ar mobilitātes dalībniekiem. Slēdzot līgumu ar dalībnieku, aicinām izmantot aģentūras mājas lapā ievietotos dotācijas līguma ar mobilitātes dalībnieku paraugus, kas nozīmē, ka pie norēķiniem būs 3 iespējas: 1. Jūs samaksājat visu (ceļa un individuālā atbalsta izdevumi), kas pēc vienības likmēm pienākas dalībniekam un viņš nopērk sev biļetes ceļam uz un no mobilitātes, kā arī sedz no šīs naudas visus uzturēšanās izdevumus (naktsmītne, ēšana, vietējais transports utt.); 2. kombinētais variants, kur iestādē pērk, piemēram, aviobiļetes, viesnīcu, ēdināšanu, apdrošināšanu, bet visu pārējo pārskaita dalībniekam (dienas naudas vai tamlīdzīgi); 3. iestāde pati par visu norēķinās un nodrošina dalībniekam atbilstošā kvalitātē, un dalībniekam atliek tikai doties mobilitātē.</w:t>
            </w:r>
          </w:p>
          <w:p w14:paraId="5F6D4C69" w14:textId="77777777" w:rsidR="003C6077" w:rsidRDefault="003C6077" w:rsidP="002A7D8D">
            <w:r>
              <w:rPr>
                <w:sz w:val="24"/>
                <w:szCs w:val="24"/>
              </w:rPr>
              <w:t xml:space="preserve">Par norēķiniem no VK konta. Šeit arī jāskatās jau esošā kārtība jūsu iestādē, dažas iestādes darbojas ar avansa norēķiniem un tikpat labi var arī norēķināties jau rēķina apmaksas brīdī, piemēram, </w:t>
            </w:r>
            <w:r>
              <w:rPr>
                <w:i/>
                <w:iCs/>
                <w:sz w:val="24"/>
                <w:szCs w:val="24"/>
              </w:rPr>
              <w:t>SIA X</w:t>
            </w:r>
            <w:r>
              <w:rPr>
                <w:sz w:val="24"/>
                <w:szCs w:val="24"/>
              </w:rPr>
              <w:t xml:space="preserve"> piestāda rēķinu par aviobiļetēm un viesnīcas izdevumiem un iestāde pasūta rēķinu jau ar konkrētiem rekvizītiem un samaksā no projekta līdzekļiem. Ļoti svarīgi, lai uz visiem dokumentiem būtu projekta rekvizīti un maksājuma mērķos lai ir skaidrs, kam par ko tiek maksāts.</w:t>
            </w:r>
          </w:p>
          <w:p w14:paraId="7F1939FF" w14:textId="77777777" w:rsidR="003C6077" w:rsidRPr="00D81241" w:rsidRDefault="003C6077" w:rsidP="002A7D8D">
            <w:pPr>
              <w:rPr>
                <w:sz w:val="24"/>
                <w:szCs w:val="24"/>
              </w:rPr>
            </w:pPr>
            <w:r w:rsidRPr="003904F9">
              <w:rPr>
                <w:sz w:val="24"/>
                <w:szCs w:val="24"/>
              </w:rPr>
              <w:t>Par avansa norēķiniem</w:t>
            </w:r>
            <w:r>
              <w:rPr>
                <w:sz w:val="24"/>
                <w:szCs w:val="24"/>
              </w:rPr>
              <w:t xml:space="preserve"> </w:t>
            </w:r>
            <w:r w:rsidRPr="003904F9">
              <w:rPr>
                <w:sz w:val="24"/>
                <w:szCs w:val="24"/>
              </w:rPr>
              <w:t>- darbinieks var pieprasīt avansa norēķinu aviobiļešu iegādei, lai lētāk/ātrāk iegādātos biļetes</w:t>
            </w:r>
            <w:r>
              <w:rPr>
                <w:sz w:val="24"/>
                <w:szCs w:val="24"/>
              </w:rPr>
              <w:t>, piemēram,</w:t>
            </w:r>
            <w:r w:rsidRPr="003904F9">
              <w:rPr>
                <w:sz w:val="24"/>
                <w:szCs w:val="24"/>
              </w:rPr>
              <w:t xml:space="preserve"> internetā. Ja ir iespēja, valsts iestādes iegādājas no pamatbudžeta līdzekļiem un tad naudu atmaksā no projekta konta līdzekļiem pamatbudžetā.</w:t>
            </w:r>
          </w:p>
        </w:tc>
      </w:tr>
    </w:tbl>
    <w:p w14:paraId="7054420B" w14:textId="77777777" w:rsidR="001F363F" w:rsidRDefault="001F363F" w:rsidP="003C6077"/>
    <w:sectPr w:rsidR="001F36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06"/>
    <w:rsid w:val="000243B6"/>
    <w:rsid w:val="00030C39"/>
    <w:rsid w:val="000632F0"/>
    <w:rsid w:val="00087B42"/>
    <w:rsid w:val="000F7625"/>
    <w:rsid w:val="001C00FE"/>
    <w:rsid w:val="001F363F"/>
    <w:rsid w:val="003904F9"/>
    <w:rsid w:val="003C6077"/>
    <w:rsid w:val="00462404"/>
    <w:rsid w:val="0047139F"/>
    <w:rsid w:val="00564F47"/>
    <w:rsid w:val="005B5AD8"/>
    <w:rsid w:val="005F2193"/>
    <w:rsid w:val="00672DD3"/>
    <w:rsid w:val="006D40D0"/>
    <w:rsid w:val="00753D06"/>
    <w:rsid w:val="008E4976"/>
    <w:rsid w:val="009D7E91"/>
    <w:rsid w:val="00B73F7A"/>
    <w:rsid w:val="00BE58AC"/>
    <w:rsid w:val="00D81241"/>
    <w:rsid w:val="00D90F9A"/>
    <w:rsid w:val="00E61BC5"/>
    <w:rsid w:val="00E74EF2"/>
    <w:rsid w:val="00E9169D"/>
    <w:rsid w:val="00F23267"/>
    <w:rsid w:val="00F43C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B7DF"/>
  <w15:chartTrackingRefBased/>
  <w15:docId w15:val="{028F877E-A3CB-4651-BF51-E47D893D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3CB4"/>
    <w:rPr>
      <w:color w:val="0563C1" w:themeColor="hyperlink"/>
      <w:u w:val="single"/>
    </w:rPr>
  </w:style>
  <w:style w:type="character" w:styleId="UnresolvedMention">
    <w:name w:val="Unresolved Mention"/>
    <w:basedOn w:val="DefaultParagraphFont"/>
    <w:uiPriority w:val="99"/>
    <w:semiHidden/>
    <w:unhideWhenUsed/>
    <w:rsid w:val="00F43CB4"/>
    <w:rPr>
      <w:color w:val="605E5C"/>
      <w:shd w:val="clear" w:color="auto" w:fill="E1DFDD"/>
    </w:rPr>
  </w:style>
  <w:style w:type="character" w:styleId="FollowedHyperlink">
    <w:name w:val="FollowedHyperlink"/>
    <w:basedOn w:val="DefaultParagraphFont"/>
    <w:uiPriority w:val="99"/>
    <w:semiHidden/>
    <w:unhideWhenUsed/>
    <w:rsid w:val="003C60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366677">
      <w:bodyDiv w:val="1"/>
      <w:marLeft w:val="0"/>
      <w:marRight w:val="0"/>
      <w:marTop w:val="0"/>
      <w:marBottom w:val="0"/>
      <w:divBdr>
        <w:top w:val="none" w:sz="0" w:space="0" w:color="auto"/>
        <w:left w:val="none" w:sz="0" w:space="0" w:color="auto"/>
        <w:bottom w:val="none" w:sz="0" w:space="0" w:color="auto"/>
        <w:right w:val="none" w:sz="0" w:space="0" w:color="auto"/>
      </w:divBdr>
    </w:div>
    <w:div w:id="211119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programmes/erasmus-plus/resources/distance-calculator_en" TargetMode="External"/><Relationship Id="rId5" Type="http://schemas.openxmlformats.org/officeDocument/2006/relationships/hyperlink" Target="https://erasmusplus.lv/skolu-mobilitates-projektu-veidi-un-sagatavosana?tab=collapse-306" TargetMode="External"/><Relationship Id="rId4" Type="http://schemas.openxmlformats.org/officeDocument/2006/relationships/hyperlink" Target="https://erasmusplus.lv/zana-mone-aktivitates-skolu-un-profesionalas-izglitibas-sekt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5416</Words>
  <Characters>3088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Katrīna Kudiņa</dc:creator>
  <cp:keywords/>
  <dc:description/>
  <cp:lastModifiedBy>Laima Jaunsubrēna</cp:lastModifiedBy>
  <cp:revision>11</cp:revision>
  <dcterms:created xsi:type="dcterms:W3CDTF">2022-01-19T07:49:00Z</dcterms:created>
  <dcterms:modified xsi:type="dcterms:W3CDTF">2022-01-19T11:30:00Z</dcterms:modified>
</cp:coreProperties>
</file>